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F61" w:rsidRPr="005E1F61" w:rsidRDefault="005E1F61" w:rsidP="005E1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F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315BD" wp14:editId="3B85DA3D">
            <wp:extent cx="432000" cy="612000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F1A" w:rsidRDefault="005E1F61" w:rsidP="009A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F61">
        <w:rPr>
          <w:rFonts w:ascii="Times New Roman" w:hAnsi="Times New Roman" w:cs="Times New Roman"/>
          <w:b/>
          <w:bCs/>
          <w:sz w:val="28"/>
          <w:szCs w:val="28"/>
        </w:rPr>
        <w:t xml:space="preserve">МІНІСТЕРСТВО ОСВІТИ І НАУКИ УКРАЇНИ </w:t>
      </w:r>
    </w:p>
    <w:p w:rsidR="009A4F1A" w:rsidRDefault="005E1F61" w:rsidP="009A4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A4F1A" w:rsidSect="00FF1232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  <w:r w:rsidRPr="005E1F61">
        <w:rPr>
          <w:rFonts w:ascii="Times New Roman" w:hAnsi="Times New Roman" w:cs="Times New Roman"/>
          <w:b/>
          <w:bCs/>
          <w:sz w:val="28"/>
          <w:szCs w:val="28"/>
        </w:rPr>
        <w:t>СУМСЬКИЙ НАЦІОНАЛЬНИЙ АГРАРНИЙ УНІВЕРСИТЕТ</w:t>
      </w:r>
    </w:p>
    <w:p w:rsidR="009A4F1A" w:rsidRDefault="00D83F29" w:rsidP="009A4F1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A4F1A" w:rsidRDefault="005E1F61" w:rsidP="009A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61">
        <w:rPr>
          <w:rFonts w:ascii="Times New Roman" w:hAnsi="Times New Roman" w:cs="Times New Roman"/>
          <w:sz w:val="28"/>
          <w:szCs w:val="28"/>
        </w:rPr>
        <w:t xml:space="preserve">Вченою радою </w:t>
      </w:r>
      <w:bookmarkStart w:id="0" w:name="_Hlk166231352"/>
      <w:r w:rsidRPr="005E1F61">
        <w:rPr>
          <w:rFonts w:ascii="Times New Roman" w:hAnsi="Times New Roman" w:cs="Times New Roman"/>
          <w:sz w:val="28"/>
          <w:szCs w:val="28"/>
        </w:rPr>
        <w:t>Сумського НАУ протокол від 29.08.2023 № 1</w:t>
      </w:r>
    </w:p>
    <w:bookmarkEnd w:id="0"/>
    <w:p w:rsidR="009A4F1A" w:rsidRDefault="00D83F29" w:rsidP="009A4F1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В ДІЮ</w:t>
      </w:r>
    </w:p>
    <w:p w:rsidR="005E1F61" w:rsidRPr="005E1F61" w:rsidRDefault="005E1F61" w:rsidP="009A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61">
        <w:rPr>
          <w:rFonts w:ascii="Times New Roman" w:hAnsi="Times New Roman" w:cs="Times New Roman"/>
          <w:sz w:val="28"/>
          <w:szCs w:val="28"/>
        </w:rPr>
        <w:t>наказом ректора Сумського НАУ від 30.12.2023 № 741-К</w:t>
      </w:r>
    </w:p>
    <w:p w:rsidR="009A4F1A" w:rsidRDefault="009A4F1A" w:rsidP="009A4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A4F1A" w:rsidSect="009A4F1A">
          <w:type w:val="continuous"/>
          <w:pgSz w:w="11906" w:h="16838"/>
          <w:pgMar w:top="1134" w:right="680" w:bottom="1134" w:left="1701" w:header="709" w:footer="709" w:gutter="0"/>
          <w:cols w:num="2" w:space="708"/>
          <w:docGrid w:linePitch="360"/>
        </w:sectPr>
      </w:pPr>
    </w:p>
    <w:p w:rsidR="001E19E6" w:rsidRPr="009A4F1A" w:rsidRDefault="001E19E6" w:rsidP="00451C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F1A">
        <w:rPr>
          <w:rFonts w:ascii="Times New Roman" w:hAnsi="Times New Roman" w:cs="Times New Roman"/>
          <w:b/>
          <w:bCs/>
          <w:sz w:val="28"/>
          <w:szCs w:val="28"/>
        </w:rPr>
        <w:t>ГЕНДЕРНА СТРАТЕГІЯ</w:t>
      </w:r>
    </w:p>
    <w:p w:rsidR="001E19E6" w:rsidRPr="009A4F1A" w:rsidRDefault="001E19E6" w:rsidP="00451C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F1A">
        <w:rPr>
          <w:rFonts w:ascii="Times New Roman" w:hAnsi="Times New Roman" w:cs="Times New Roman"/>
          <w:b/>
          <w:bCs/>
          <w:sz w:val="28"/>
          <w:szCs w:val="28"/>
        </w:rPr>
        <w:t>Сумського національного аграрного університету (2023-2033)</w:t>
      </w:r>
    </w:p>
    <w:p w:rsidR="001E19E6" w:rsidRPr="001E19E6" w:rsidRDefault="001E19E6" w:rsidP="00451C64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E6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3D5205" w:rsidRDefault="001E19E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9E6">
        <w:rPr>
          <w:rFonts w:ascii="Times New Roman" w:hAnsi="Times New Roman" w:cs="Times New Roman"/>
          <w:sz w:val="28"/>
          <w:szCs w:val="28"/>
        </w:rPr>
        <w:t>Виклики розвитку сучасної системи освіти потребують постійної та пильної уваги до найбільш гострих проблем та ускладнень, що супроводжують будь-який прогрес. Особливо тих, що ґрунтуються на давньому фундаменті архаїчних стереотипів, ховаються за хибне розуміння традиційності. Досягнення науки, розвиток соціальної свідомості вимагають жорсткіше ставитися до будь-яких форм та проявів дискримінації. Чи не у перше чергу це стосується дискримінації за гендерними ознаками. Сумський національний аграрний університет є повноцінним учасником європейського науково-освітнього простору, отже, не може залишатися осторонь гендерної проблематики. Університет є провідником суспільства до простору дем</w:t>
      </w:r>
      <w:r w:rsidR="00E423FC">
        <w:rPr>
          <w:rFonts w:ascii="Times New Roman" w:hAnsi="Times New Roman" w:cs="Times New Roman"/>
          <w:sz w:val="28"/>
          <w:szCs w:val="28"/>
        </w:rPr>
        <w:t>ократії та рівних можливостей,</w:t>
      </w:r>
      <w:r w:rsidRPr="001E19E6">
        <w:rPr>
          <w:rFonts w:ascii="Times New Roman" w:hAnsi="Times New Roman" w:cs="Times New Roman"/>
          <w:sz w:val="28"/>
          <w:szCs w:val="28"/>
        </w:rPr>
        <w:t xml:space="preserve"> впровадження в освіту принципів гендерної рівності задля запобігання дискримінації є важливим соціальним завданням університету. </w:t>
      </w:r>
    </w:p>
    <w:p w:rsidR="00710653" w:rsidRPr="00710653" w:rsidRDefault="001E19E6" w:rsidP="00710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9E6">
        <w:rPr>
          <w:rFonts w:ascii="Times New Roman" w:hAnsi="Times New Roman" w:cs="Times New Roman"/>
          <w:sz w:val="28"/>
          <w:szCs w:val="28"/>
        </w:rPr>
        <w:t>На виконання цього завдання спрямована Гендерна стратегія Сумського національного аграрного університету 2023-2033 (далі – Гендерна стратегія). Нею визначено базові принципи, мету, стратегічні цілі, завдання, цільові групи, сфери впровадження гендерного паритету та запо</w:t>
      </w:r>
      <w:r w:rsidR="00710653">
        <w:rPr>
          <w:rFonts w:ascii="Times New Roman" w:hAnsi="Times New Roman" w:cs="Times New Roman"/>
          <w:sz w:val="28"/>
          <w:szCs w:val="28"/>
        </w:rPr>
        <w:t>бігання гендерній дискримінації</w:t>
      </w:r>
      <w:r w:rsidR="00710653" w:rsidRPr="00710653">
        <w:rPr>
          <w:rFonts w:ascii="Times New Roman" w:hAnsi="Times New Roman" w:cs="Times New Roman"/>
          <w:sz w:val="28"/>
          <w:szCs w:val="28"/>
        </w:rPr>
        <w:t xml:space="preserve">, </w:t>
      </w:r>
      <w:r w:rsidR="00710653">
        <w:rPr>
          <w:rFonts w:ascii="Times New Roman" w:hAnsi="Times New Roman" w:cs="Times New Roman"/>
          <w:sz w:val="28"/>
          <w:szCs w:val="28"/>
        </w:rPr>
        <w:t>п</w:t>
      </w:r>
      <w:r w:rsidR="00710653" w:rsidRPr="00710653">
        <w:rPr>
          <w:rFonts w:ascii="Times New Roman" w:hAnsi="Times New Roman" w:cs="Times New Roman"/>
          <w:sz w:val="28"/>
          <w:szCs w:val="28"/>
        </w:rPr>
        <w:t>орядок проведення моніторингу, оцінювання результатів реалізації Стратегії та звітування</w:t>
      </w:r>
    </w:p>
    <w:p w:rsidR="001E19E6" w:rsidRDefault="001E19E6" w:rsidP="00451C64">
      <w:pPr>
        <w:pStyle w:val="a4"/>
        <w:numPr>
          <w:ilvl w:val="0"/>
          <w:numId w:val="2"/>
        </w:numPr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E6">
        <w:rPr>
          <w:rFonts w:ascii="Times New Roman" w:hAnsi="Times New Roman" w:cs="Times New Roman"/>
          <w:b/>
          <w:sz w:val="28"/>
          <w:szCs w:val="28"/>
        </w:rPr>
        <w:t>Основні визначення та терміни</w:t>
      </w:r>
    </w:p>
    <w:p w:rsidR="001E19E6" w:rsidRDefault="001E19E6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9E6">
        <w:rPr>
          <w:rFonts w:ascii="Times New Roman" w:hAnsi="Times New Roman" w:cs="Times New Roman"/>
          <w:sz w:val="28"/>
          <w:szCs w:val="28"/>
        </w:rPr>
        <w:t>Тлумачення основних визначень й термінів, які використовуються у Гендерній стратегії, скориговане відповідно до виключно університетського простору вживання:</w:t>
      </w:r>
    </w:p>
    <w:p w:rsidR="00E05DAB" w:rsidRDefault="001E19E6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9E6">
        <w:rPr>
          <w:rFonts w:ascii="Times New Roman" w:hAnsi="Times New Roman" w:cs="Times New Roman"/>
          <w:b/>
          <w:i/>
          <w:sz w:val="28"/>
          <w:szCs w:val="28"/>
        </w:rPr>
        <w:t>гендерна асиметрія</w:t>
      </w:r>
      <w:r w:rsidRPr="001E19E6">
        <w:rPr>
          <w:rFonts w:ascii="Times New Roman" w:hAnsi="Times New Roman" w:cs="Times New Roman"/>
          <w:sz w:val="28"/>
          <w:szCs w:val="28"/>
        </w:rPr>
        <w:t xml:space="preserve"> – диспропорція соціокультурних ролей різних </w:t>
      </w:r>
      <w:proofErr w:type="spellStart"/>
      <w:r w:rsidRPr="001E19E6">
        <w:rPr>
          <w:rFonts w:ascii="Times New Roman" w:hAnsi="Times New Roman" w:cs="Times New Roman"/>
          <w:sz w:val="28"/>
          <w:szCs w:val="28"/>
        </w:rPr>
        <w:t>гендерів</w:t>
      </w:r>
      <w:proofErr w:type="spellEnd"/>
      <w:r w:rsidRPr="001E19E6">
        <w:rPr>
          <w:rFonts w:ascii="Times New Roman" w:hAnsi="Times New Roman" w:cs="Times New Roman"/>
          <w:sz w:val="28"/>
          <w:szCs w:val="28"/>
        </w:rPr>
        <w:t xml:space="preserve"> у різних сферах університетського життя, втілена в асиметрії стандартів, вимог, декларованих очікувань та </w:t>
      </w:r>
      <w:proofErr w:type="spellStart"/>
      <w:r w:rsidRPr="001E19E6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1E19E6">
        <w:rPr>
          <w:rFonts w:ascii="Times New Roman" w:hAnsi="Times New Roman" w:cs="Times New Roman"/>
          <w:sz w:val="28"/>
          <w:szCs w:val="28"/>
        </w:rPr>
        <w:t xml:space="preserve"> приписів від поведінки жінок, чоловіків та інших гендерних груп; </w:t>
      </w:r>
    </w:p>
    <w:p w:rsidR="00E423FC" w:rsidRDefault="001E19E6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гендерний паритет</w:t>
      </w:r>
      <w:r w:rsidRPr="001E19E6">
        <w:rPr>
          <w:rFonts w:ascii="Times New Roman" w:hAnsi="Times New Roman" w:cs="Times New Roman"/>
          <w:sz w:val="28"/>
          <w:szCs w:val="28"/>
        </w:rPr>
        <w:t xml:space="preserve"> – врівноважене та раціонально симетричне включення різних гендерних груп до усі</w:t>
      </w:r>
      <w:r w:rsidR="00E423FC">
        <w:rPr>
          <w:rFonts w:ascii="Times New Roman" w:hAnsi="Times New Roman" w:cs="Times New Roman"/>
          <w:sz w:val="28"/>
          <w:szCs w:val="28"/>
        </w:rPr>
        <w:t>х сфер університетського життя;</w:t>
      </w:r>
    </w:p>
    <w:p w:rsidR="00E05DAB" w:rsidRDefault="001E19E6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3FC">
        <w:rPr>
          <w:rFonts w:ascii="Times New Roman" w:hAnsi="Times New Roman" w:cs="Times New Roman"/>
          <w:b/>
          <w:i/>
          <w:sz w:val="28"/>
          <w:szCs w:val="28"/>
        </w:rPr>
        <w:lastRenderedPageBreak/>
        <w:t>гендерна дискримінація</w:t>
      </w:r>
      <w:r w:rsidRPr="001E19E6">
        <w:rPr>
          <w:rFonts w:ascii="Times New Roman" w:hAnsi="Times New Roman" w:cs="Times New Roman"/>
          <w:sz w:val="28"/>
          <w:szCs w:val="28"/>
        </w:rPr>
        <w:t xml:space="preserve"> – обмеження можливостей і прав, здійснення символічного насильства або надання режиму найбільшого сприяння для осіб на підставі їхньої статі, гендерної ідентичності або сексуальної орієнтації; </w:t>
      </w:r>
    </w:p>
    <w:p w:rsidR="00E05DAB" w:rsidRDefault="001E19E6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DAB">
        <w:rPr>
          <w:rFonts w:ascii="Times New Roman" w:hAnsi="Times New Roman" w:cs="Times New Roman"/>
          <w:b/>
          <w:i/>
          <w:sz w:val="28"/>
          <w:szCs w:val="28"/>
        </w:rPr>
        <w:t>сексизм</w:t>
      </w:r>
      <w:proofErr w:type="spellEnd"/>
      <w:r w:rsidRPr="001E19E6">
        <w:rPr>
          <w:rFonts w:ascii="Times New Roman" w:hAnsi="Times New Roman" w:cs="Times New Roman"/>
          <w:sz w:val="28"/>
          <w:szCs w:val="28"/>
        </w:rPr>
        <w:t xml:space="preserve"> – ідеологія й практика (у тому числі мовно-дискурсивна) дискримінації людей за ознакою статі, що базується на уявленні про переваги моральних,</w:t>
      </w:r>
      <w:r w:rsidR="00E05DAB" w:rsidRPr="00E05DAB">
        <w:t xml:space="preserve"> </w:t>
      </w:r>
      <w:r w:rsidR="00E05DAB" w:rsidRPr="00E05DAB">
        <w:rPr>
          <w:rFonts w:ascii="Times New Roman" w:hAnsi="Times New Roman" w:cs="Times New Roman"/>
          <w:sz w:val="28"/>
          <w:szCs w:val="28"/>
        </w:rPr>
        <w:t xml:space="preserve">інтелектуальних, культурних, фізичних та інших якостей однієї статі над іншою; </w:t>
      </w:r>
    </w:p>
    <w:p w:rsidR="00E05DAB" w:rsidRDefault="00E05DAB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гендерний підхід</w:t>
      </w:r>
      <w:r w:rsidRPr="00E05DAB">
        <w:rPr>
          <w:rFonts w:ascii="Times New Roman" w:hAnsi="Times New Roman" w:cs="Times New Roman"/>
          <w:sz w:val="28"/>
          <w:szCs w:val="28"/>
        </w:rPr>
        <w:t xml:space="preserve"> – науково обґрунтована орієнтація на досягнення гендерної рівності та утвердження рівних можливостей для носіїв усіх </w:t>
      </w:r>
      <w:proofErr w:type="spellStart"/>
      <w:r w:rsidRPr="00E05DAB">
        <w:rPr>
          <w:rFonts w:ascii="Times New Roman" w:hAnsi="Times New Roman" w:cs="Times New Roman"/>
          <w:sz w:val="28"/>
          <w:szCs w:val="28"/>
        </w:rPr>
        <w:t>гендерів</w:t>
      </w:r>
      <w:proofErr w:type="spellEnd"/>
      <w:r w:rsidRPr="00E05DAB">
        <w:rPr>
          <w:rFonts w:ascii="Times New Roman" w:hAnsi="Times New Roman" w:cs="Times New Roman"/>
          <w:sz w:val="28"/>
          <w:szCs w:val="28"/>
        </w:rPr>
        <w:t xml:space="preserve">; відсутність орієнтації на «особливе призначення» чоловіка чи жінки; подолання гендерних стереотипів; </w:t>
      </w:r>
    </w:p>
    <w:p w:rsidR="00E05DAB" w:rsidRDefault="00E05DAB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гендерна складова</w:t>
      </w:r>
      <w:r w:rsidRPr="00E05DAB">
        <w:rPr>
          <w:rFonts w:ascii="Times New Roman" w:hAnsi="Times New Roman" w:cs="Times New Roman"/>
          <w:sz w:val="28"/>
          <w:szCs w:val="28"/>
        </w:rPr>
        <w:t xml:space="preserve"> – концептуальні елементи та практика запобігання гендерній дискримінації в освітніх програмах, науковій та організаційній діяльності університету; </w:t>
      </w:r>
    </w:p>
    <w:p w:rsidR="00E05DAB" w:rsidRDefault="00E05DAB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гендерна чутливість</w:t>
      </w:r>
      <w:r w:rsidRPr="00E05DAB">
        <w:rPr>
          <w:rFonts w:ascii="Times New Roman" w:hAnsi="Times New Roman" w:cs="Times New Roman"/>
          <w:sz w:val="28"/>
          <w:szCs w:val="28"/>
        </w:rPr>
        <w:t xml:space="preserve"> – здатність та націленість сприймати, усвідомлювати та </w:t>
      </w:r>
      <w:proofErr w:type="spellStart"/>
      <w:r w:rsidRPr="00E05DAB">
        <w:rPr>
          <w:rFonts w:ascii="Times New Roman" w:hAnsi="Times New Roman" w:cs="Times New Roman"/>
          <w:sz w:val="28"/>
          <w:szCs w:val="28"/>
        </w:rPr>
        <w:t>контрреагувати</w:t>
      </w:r>
      <w:proofErr w:type="spellEnd"/>
      <w:r w:rsidRPr="00E05DAB">
        <w:rPr>
          <w:rFonts w:ascii="Times New Roman" w:hAnsi="Times New Roman" w:cs="Times New Roman"/>
          <w:sz w:val="28"/>
          <w:szCs w:val="28"/>
        </w:rPr>
        <w:t xml:space="preserve"> на будь-які прояви </w:t>
      </w:r>
      <w:proofErr w:type="spellStart"/>
      <w:r w:rsidRPr="00E05DAB">
        <w:rPr>
          <w:rFonts w:ascii="Times New Roman" w:hAnsi="Times New Roman" w:cs="Times New Roman"/>
          <w:sz w:val="28"/>
          <w:szCs w:val="28"/>
        </w:rPr>
        <w:t>сексизму</w:t>
      </w:r>
      <w:proofErr w:type="spellEnd"/>
      <w:r w:rsidRPr="00E05DAB">
        <w:rPr>
          <w:rFonts w:ascii="Times New Roman" w:hAnsi="Times New Roman" w:cs="Times New Roman"/>
          <w:sz w:val="28"/>
          <w:szCs w:val="28"/>
        </w:rPr>
        <w:t xml:space="preserve">, гендерної дискримінації; </w:t>
      </w:r>
    </w:p>
    <w:p w:rsidR="00E05DAB" w:rsidRDefault="00E05DAB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гендерні ролі</w:t>
      </w:r>
      <w:r w:rsidRPr="00E05DAB">
        <w:rPr>
          <w:rFonts w:ascii="Times New Roman" w:hAnsi="Times New Roman" w:cs="Times New Roman"/>
          <w:sz w:val="28"/>
          <w:szCs w:val="28"/>
        </w:rPr>
        <w:t xml:space="preserve"> – соціальні очікування суспільства від жінок і чоловіків на базі сформованих гендерних стереотипів, а також поведінка у формі мови, манер, жестів тощо; </w:t>
      </w:r>
    </w:p>
    <w:p w:rsidR="00E05DAB" w:rsidRDefault="00E05DAB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гендерно</w:t>
      </w:r>
      <w:proofErr w:type="spellEnd"/>
      <w:r w:rsidRPr="00E05DAB">
        <w:rPr>
          <w:rFonts w:ascii="Times New Roman" w:hAnsi="Times New Roman" w:cs="Times New Roman"/>
          <w:b/>
          <w:i/>
          <w:sz w:val="28"/>
          <w:szCs w:val="28"/>
        </w:rPr>
        <w:t xml:space="preserve"> чутлива </w:t>
      </w:r>
      <w:r w:rsidRPr="00E423FC">
        <w:rPr>
          <w:rFonts w:ascii="Times New Roman" w:hAnsi="Times New Roman" w:cs="Times New Roman"/>
          <w:b/>
          <w:i/>
          <w:sz w:val="28"/>
          <w:szCs w:val="28"/>
        </w:rPr>
        <w:t>мова</w:t>
      </w:r>
      <w:r w:rsidR="00E423F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E423FC">
        <w:rPr>
          <w:rFonts w:ascii="Times New Roman" w:hAnsi="Times New Roman" w:cs="Times New Roman"/>
          <w:b/>
          <w:i/>
          <w:sz w:val="28"/>
          <w:szCs w:val="28"/>
        </w:rPr>
        <w:t>мовлення</w:t>
      </w:r>
      <w:r w:rsidRPr="00E05DAB">
        <w:rPr>
          <w:rFonts w:ascii="Times New Roman" w:hAnsi="Times New Roman" w:cs="Times New Roman"/>
          <w:sz w:val="28"/>
          <w:szCs w:val="28"/>
        </w:rPr>
        <w:t xml:space="preserve"> – усне чи письмове висловлення, позбавлене андроцентризму, </w:t>
      </w:r>
      <w:proofErr w:type="spellStart"/>
      <w:r w:rsidRPr="00E05DAB">
        <w:rPr>
          <w:rFonts w:ascii="Times New Roman" w:hAnsi="Times New Roman" w:cs="Times New Roman"/>
          <w:sz w:val="28"/>
          <w:szCs w:val="28"/>
        </w:rPr>
        <w:t>сексизмів</w:t>
      </w:r>
      <w:proofErr w:type="spellEnd"/>
      <w:r w:rsidRPr="00E05DAB">
        <w:rPr>
          <w:rFonts w:ascii="Times New Roman" w:hAnsi="Times New Roman" w:cs="Times New Roman"/>
          <w:sz w:val="28"/>
          <w:szCs w:val="28"/>
        </w:rPr>
        <w:t xml:space="preserve"> і будь-яких інших дискримінаційних елементів та властивостей</w:t>
      </w:r>
      <w:r w:rsidR="00262B43" w:rsidRPr="00262B43">
        <w:rPr>
          <w:rFonts w:ascii="Times New Roman" w:hAnsi="Times New Roman" w:cs="Times New Roman"/>
          <w:sz w:val="28"/>
          <w:szCs w:val="28"/>
        </w:rPr>
        <w:t xml:space="preserve"> </w:t>
      </w:r>
      <w:r w:rsidR="00262B43" w:rsidRPr="00E05DAB">
        <w:rPr>
          <w:rFonts w:ascii="Times New Roman" w:hAnsi="Times New Roman" w:cs="Times New Roman"/>
          <w:sz w:val="28"/>
          <w:szCs w:val="28"/>
        </w:rPr>
        <w:t xml:space="preserve">щодо </w:t>
      </w:r>
      <w:proofErr w:type="spellStart"/>
      <w:r w:rsidR="00262B43" w:rsidRPr="00E05DAB">
        <w:rPr>
          <w:rFonts w:ascii="Times New Roman" w:hAnsi="Times New Roman" w:cs="Times New Roman"/>
          <w:sz w:val="28"/>
          <w:szCs w:val="28"/>
        </w:rPr>
        <w:t>гендеру</w:t>
      </w:r>
      <w:proofErr w:type="spellEnd"/>
      <w:r w:rsidRPr="00E05DAB">
        <w:rPr>
          <w:rFonts w:ascii="Times New Roman" w:hAnsi="Times New Roman" w:cs="Times New Roman"/>
          <w:sz w:val="28"/>
          <w:szCs w:val="28"/>
        </w:rPr>
        <w:t>;</w:t>
      </w:r>
    </w:p>
    <w:p w:rsidR="005F68AC" w:rsidRPr="003B2CF9" w:rsidRDefault="00E05DAB" w:rsidP="003B2CF9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AB">
        <w:rPr>
          <w:rFonts w:ascii="Times New Roman" w:hAnsi="Times New Roman" w:cs="Times New Roman"/>
          <w:b/>
          <w:i/>
          <w:sz w:val="28"/>
          <w:szCs w:val="28"/>
        </w:rPr>
        <w:t>гендерні стереотипи</w:t>
      </w:r>
      <w:r w:rsidRPr="00E05DAB">
        <w:rPr>
          <w:rFonts w:ascii="Times New Roman" w:hAnsi="Times New Roman" w:cs="Times New Roman"/>
          <w:sz w:val="28"/>
          <w:szCs w:val="28"/>
        </w:rPr>
        <w:t xml:space="preserve"> – сформовані культурою узагальнені уявлення (переконання) про те, як поводяться та мають поводитися чоловіки і жінки</w:t>
      </w:r>
      <w:r w:rsidR="005F68AC">
        <w:rPr>
          <w:rFonts w:ascii="Times New Roman" w:hAnsi="Times New Roman" w:cs="Times New Roman"/>
          <w:sz w:val="28"/>
          <w:szCs w:val="28"/>
        </w:rPr>
        <w:t>.</w:t>
      </w:r>
    </w:p>
    <w:p w:rsidR="005F68AC" w:rsidRDefault="005F68AC" w:rsidP="006E6D8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AC">
        <w:rPr>
          <w:rFonts w:ascii="Times New Roman" w:hAnsi="Times New Roman" w:cs="Times New Roman"/>
          <w:b/>
          <w:sz w:val="28"/>
          <w:szCs w:val="28"/>
        </w:rPr>
        <w:t>Базові принципи</w:t>
      </w:r>
    </w:p>
    <w:p w:rsidR="005F68AC" w:rsidRDefault="005F68AC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AC">
        <w:rPr>
          <w:rFonts w:ascii="Times New Roman" w:hAnsi="Times New Roman" w:cs="Times New Roman"/>
          <w:sz w:val="28"/>
          <w:szCs w:val="28"/>
        </w:rPr>
        <w:t>Принциповою базою формування Гендерної стратегії є кодекс цінностей Сумського національного аграрного університету, зокрема цінності демократизму, просв</w:t>
      </w:r>
      <w:r w:rsidR="00262B43">
        <w:rPr>
          <w:rFonts w:ascii="Times New Roman" w:hAnsi="Times New Roman" w:cs="Times New Roman"/>
          <w:sz w:val="28"/>
          <w:szCs w:val="28"/>
        </w:rPr>
        <w:t>ітництва</w:t>
      </w:r>
      <w:r w:rsidRPr="005F68AC">
        <w:rPr>
          <w:rFonts w:ascii="Times New Roman" w:hAnsi="Times New Roman" w:cs="Times New Roman"/>
          <w:sz w:val="28"/>
          <w:szCs w:val="28"/>
        </w:rPr>
        <w:t xml:space="preserve">, гуманізму, відкритості та толерантності. Гендерна стратегія базується на: </w:t>
      </w:r>
    </w:p>
    <w:p w:rsidR="005F68AC" w:rsidRDefault="005F68AC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AC">
        <w:rPr>
          <w:rFonts w:ascii="Times New Roman" w:hAnsi="Times New Roman" w:cs="Times New Roman"/>
          <w:sz w:val="28"/>
          <w:szCs w:val="28"/>
        </w:rPr>
        <w:t xml:space="preserve"> дотриманні демократичних цінностей </w:t>
      </w:r>
      <w:proofErr w:type="spellStart"/>
      <w:r w:rsidRPr="005F68AC">
        <w:rPr>
          <w:rFonts w:ascii="Times New Roman" w:hAnsi="Times New Roman" w:cs="Times New Roman"/>
          <w:sz w:val="28"/>
          <w:szCs w:val="28"/>
        </w:rPr>
        <w:t>егалітарності</w:t>
      </w:r>
      <w:proofErr w:type="spellEnd"/>
      <w:r w:rsidRPr="005F68AC">
        <w:rPr>
          <w:rFonts w:ascii="Times New Roman" w:hAnsi="Times New Roman" w:cs="Times New Roman"/>
          <w:sz w:val="28"/>
          <w:szCs w:val="28"/>
        </w:rPr>
        <w:t xml:space="preserve"> (рівності прав і можливостей), </w:t>
      </w:r>
      <w:proofErr w:type="spellStart"/>
      <w:r w:rsidRPr="005F68AC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Pr="005F68AC">
        <w:rPr>
          <w:rFonts w:ascii="Times New Roman" w:hAnsi="Times New Roman" w:cs="Times New Roman"/>
          <w:sz w:val="28"/>
          <w:szCs w:val="28"/>
        </w:rPr>
        <w:t xml:space="preserve">, толерантності, недискримінації; </w:t>
      </w:r>
    </w:p>
    <w:p w:rsidR="005F68AC" w:rsidRDefault="005F68AC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AC">
        <w:rPr>
          <w:rFonts w:ascii="Times New Roman" w:hAnsi="Times New Roman" w:cs="Times New Roman"/>
          <w:sz w:val="28"/>
          <w:szCs w:val="28"/>
        </w:rPr>
        <w:t xml:space="preserve"> науковому підґрунті міждисциплінарних гендерних досліджень; </w:t>
      </w:r>
    </w:p>
    <w:p w:rsidR="005F68AC" w:rsidRDefault="005F68AC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AC">
        <w:rPr>
          <w:rFonts w:ascii="Times New Roman" w:hAnsi="Times New Roman" w:cs="Times New Roman"/>
          <w:sz w:val="28"/>
          <w:szCs w:val="28"/>
        </w:rPr>
        <w:t xml:space="preserve"> повазі до особистості, до унікальності та права на повноцінну самореалізацію в університетському просторі кожної людини, яка належить до університетської спільноти; </w:t>
      </w:r>
    </w:p>
    <w:p w:rsidR="005F68AC" w:rsidRDefault="005F68AC" w:rsidP="0062450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AC">
        <w:rPr>
          <w:rFonts w:ascii="Times New Roman" w:hAnsi="Times New Roman" w:cs="Times New Roman"/>
          <w:sz w:val="28"/>
          <w:szCs w:val="28"/>
        </w:rPr>
        <w:t xml:space="preserve"> відкритості та прозорості процесу формування Гендерної стратегії, що потребує залучення університетської спільноти до її обговорення та експертизи; </w:t>
      </w:r>
    </w:p>
    <w:p w:rsidR="00B72EE8" w:rsidRDefault="005F68AC" w:rsidP="003B2CF9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AC">
        <w:rPr>
          <w:rFonts w:ascii="Times New Roman" w:hAnsi="Times New Roman" w:cs="Times New Roman"/>
          <w:sz w:val="28"/>
          <w:szCs w:val="28"/>
        </w:rPr>
        <w:t xml:space="preserve"> уявленні про гендерну рівність як про одну з головних цілей сталого розв</w:t>
      </w:r>
      <w:r w:rsidR="00C673D1">
        <w:rPr>
          <w:rFonts w:ascii="Times New Roman" w:hAnsi="Times New Roman" w:cs="Times New Roman"/>
          <w:sz w:val="28"/>
          <w:szCs w:val="28"/>
        </w:rPr>
        <w:t>итку.</w:t>
      </w:r>
    </w:p>
    <w:p w:rsidR="00C673D1" w:rsidRDefault="00C673D1" w:rsidP="006E6D86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D1">
        <w:rPr>
          <w:rFonts w:ascii="Times New Roman" w:hAnsi="Times New Roman" w:cs="Times New Roman"/>
          <w:b/>
          <w:sz w:val="28"/>
          <w:szCs w:val="28"/>
        </w:rPr>
        <w:t>Мета</w:t>
      </w:r>
      <w:r w:rsidRPr="00C673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стратегічні </w:t>
      </w:r>
      <w:r w:rsidRPr="00C673D1">
        <w:rPr>
          <w:rFonts w:ascii="Times New Roman" w:hAnsi="Times New Roman" w:cs="Times New Roman"/>
          <w:b/>
          <w:sz w:val="28"/>
          <w:szCs w:val="28"/>
        </w:rPr>
        <w:t>ціл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r w:rsidR="00F82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75A" w:rsidRDefault="00F82DC8" w:rsidP="007C2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Стратегія </w:t>
      </w:r>
      <w:r w:rsidRPr="00F82DC8">
        <w:rPr>
          <w:rFonts w:ascii="Times New Roman" w:hAnsi="Times New Roman" w:cs="Times New Roman"/>
          <w:sz w:val="28"/>
          <w:szCs w:val="28"/>
        </w:rPr>
        <w:t>розроблена з урахуванням міжнародно-правових актів щодо забезпечення гендерної рівності та зорієнтована на імплементацію положень Конвенції ООН щодо подолання всіх форм дискримінації по відношенню до жінок (</w:t>
      </w:r>
      <w:r w:rsidR="00DE1D1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6" w:anchor="Text" w:history="1">
        <w:r w:rsidR="00495DEB" w:rsidRPr="00D7346A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https://zakon.rada.gov.ua/laws/show/995_207#Text</w:t>
        </w:r>
      </w:hyperlink>
      <w:r w:rsidR="00495DEB">
        <w:rPr>
          <w:rFonts w:ascii="Times New Roman" w:hAnsi="Times New Roman" w:cs="Times New Roman"/>
          <w:sz w:val="28"/>
          <w:szCs w:val="28"/>
        </w:rPr>
        <w:t>)</w:t>
      </w:r>
      <w:r w:rsidR="00DE1D15">
        <w:rPr>
          <w:rFonts w:ascii="Times New Roman" w:hAnsi="Times New Roman" w:cs="Times New Roman"/>
          <w:sz w:val="28"/>
          <w:szCs w:val="28"/>
        </w:rPr>
        <w:t xml:space="preserve">. </w:t>
      </w:r>
      <w:r w:rsidRPr="00F82DC8">
        <w:rPr>
          <w:rFonts w:ascii="Times New Roman" w:hAnsi="Times New Roman" w:cs="Times New Roman"/>
          <w:sz w:val="28"/>
          <w:szCs w:val="28"/>
        </w:rPr>
        <w:lastRenderedPageBreak/>
        <w:t xml:space="preserve">Декларації про викорінення насильства по відношенню до жінок </w:t>
      </w:r>
      <w:r w:rsidR="00DE1D15">
        <w:rPr>
          <w:rFonts w:ascii="Times New Roman" w:hAnsi="Times New Roman" w:cs="Times New Roman"/>
          <w:sz w:val="28"/>
          <w:szCs w:val="28"/>
        </w:rPr>
        <w:t xml:space="preserve">(Резолюція Генеральної Асамблеї </w:t>
      </w:r>
      <w:r w:rsidRPr="00F82DC8">
        <w:rPr>
          <w:rFonts w:ascii="Times New Roman" w:hAnsi="Times New Roman" w:cs="Times New Roman"/>
          <w:sz w:val="28"/>
          <w:szCs w:val="28"/>
        </w:rPr>
        <w:t>№48/104 від 20.12.1993 р.) (</w:t>
      </w:r>
      <w:r w:rsidR="00DE1D1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7" w:history="1">
        <w:r w:rsidR="00DE1D15" w:rsidRPr="00D7346A">
          <w:rPr>
            <w:rStyle w:val="a5"/>
            <w:rFonts w:ascii="Times New Roman" w:hAnsi="Times New Roman" w:cs="Times New Roman"/>
            <w:sz w:val="28"/>
            <w:szCs w:val="28"/>
          </w:rPr>
          <w:t>https://zakononline.com.ua/documents/show/165261___165261</w:t>
        </w:r>
      </w:hyperlink>
      <w:r w:rsidRPr="00F82DC8">
        <w:rPr>
          <w:rFonts w:ascii="Times New Roman" w:hAnsi="Times New Roman" w:cs="Times New Roman"/>
          <w:sz w:val="28"/>
          <w:szCs w:val="28"/>
        </w:rPr>
        <w:t>),</w:t>
      </w:r>
      <w:r w:rsidR="00DE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Аналітичної </w:t>
      </w:r>
      <w:r w:rsidRPr="00F82DC8">
        <w:rPr>
          <w:rFonts w:ascii="Times New Roman" w:hAnsi="Times New Roman" w:cs="Times New Roman"/>
          <w:sz w:val="28"/>
          <w:szCs w:val="28"/>
        </w:rPr>
        <w:t>довід</w:t>
      </w:r>
      <w:r w:rsidR="00DE1D15">
        <w:rPr>
          <w:rFonts w:ascii="Times New Roman" w:hAnsi="Times New Roman" w:cs="Times New Roman"/>
          <w:sz w:val="28"/>
          <w:szCs w:val="28"/>
        </w:rPr>
        <w:t xml:space="preserve">ки ООН щодо </w:t>
      </w:r>
      <w:proofErr w:type="spellStart"/>
      <w:r w:rsidR="00DE1D15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="00940120">
        <w:rPr>
          <w:rFonts w:ascii="Times New Roman" w:hAnsi="Times New Roman" w:cs="Times New Roman"/>
          <w:sz w:val="28"/>
          <w:szCs w:val="28"/>
        </w:rPr>
        <w:t xml:space="preserve"> </w:t>
      </w:r>
      <w:r w:rsidR="00DE1D15">
        <w:rPr>
          <w:rFonts w:ascii="Times New Roman" w:hAnsi="Times New Roman" w:cs="Times New Roman"/>
          <w:sz w:val="28"/>
          <w:szCs w:val="28"/>
        </w:rPr>
        <w:t xml:space="preserve">зумовленого </w:t>
      </w:r>
      <w:r w:rsidRPr="00F82DC8">
        <w:rPr>
          <w:rFonts w:ascii="Times New Roman" w:hAnsi="Times New Roman" w:cs="Times New Roman"/>
          <w:sz w:val="28"/>
          <w:szCs w:val="28"/>
        </w:rPr>
        <w:t>насильства (</w:t>
      </w:r>
      <w:r w:rsidR="00DE1D1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8" w:history="1">
        <w:r w:rsidR="007C2252" w:rsidRPr="00D7346A">
          <w:rPr>
            <w:rStyle w:val="a5"/>
            <w:rFonts w:ascii="Times New Roman" w:hAnsi="Times New Roman" w:cs="Times New Roman"/>
            <w:sz w:val="28"/>
            <w:szCs w:val="28"/>
          </w:rPr>
          <w:t>https://ukraine.un.org/sites/default/files/2021-11/UN%20Policy%20Paper%20on%20GBV_FINAL%20UKR.pdf</w:t>
        </w:r>
      </w:hyperlink>
      <w:r w:rsidRPr="00F82DC8">
        <w:rPr>
          <w:rFonts w:ascii="Times New Roman" w:hAnsi="Times New Roman" w:cs="Times New Roman"/>
          <w:sz w:val="28"/>
          <w:szCs w:val="28"/>
        </w:rPr>
        <w:t>); Декларація Комітету Сторін Конвенції Ради Європи про за</w:t>
      </w:r>
      <w:r>
        <w:rPr>
          <w:rFonts w:ascii="Times New Roman" w:hAnsi="Times New Roman" w:cs="Times New Roman"/>
          <w:sz w:val="28"/>
          <w:szCs w:val="28"/>
        </w:rPr>
        <w:t xml:space="preserve">побігання насильству стосовно </w:t>
      </w:r>
      <w:r w:rsidRPr="00F82DC8">
        <w:rPr>
          <w:rFonts w:ascii="Times New Roman" w:hAnsi="Times New Roman" w:cs="Times New Roman"/>
          <w:sz w:val="28"/>
          <w:szCs w:val="28"/>
        </w:rPr>
        <w:t>жінок і домашньому насильству та боротьбу із цими явищами (Стамбульська конвенція) з нагоди 10-ї річниці відкриття для під</w:t>
      </w:r>
      <w:r w:rsidR="00DE1D15">
        <w:rPr>
          <w:rFonts w:ascii="Times New Roman" w:hAnsi="Times New Roman" w:cs="Times New Roman"/>
          <w:sz w:val="28"/>
          <w:szCs w:val="28"/>
        </w:rPr>
        <w:t xml:space="preserve">писання Стамбульської конвенції </w:t>
      </w:r>
      <w:r w:rsidRPr="00F82DC8">
        <w:rPr>
          <w:rFonts w:ascii="Times New Roman" w:hAnsi="Times New Roman" w:cs="Times New Roman"/>
          <w:sz w:val="28"/>
          <w:szCs w:val="28"/>
        </w:rPr>
        <w:t>(</w:t>
      </w:r>
      <w:r w:rsidR="007C2252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9" w:history="1">
        <w:r w:rsidRPr="005A52A0">
          <w:rPr>
            <w:rStyle w:val="a5"/>
            <w:rFonts w:ascii="Times New Roman" w:hAnsi="Times New Roman" w:cs="Times New Roman"/>
            <w:sz w:val="28"/>
            <w:szCs w:val="28"/>
          </w:rPr>
          <w:t>https://rm.coe.int/cop-declaration-10th-anniversary-eng-uk1- /1680a26e69</w:t>
        </w:r>
      </w:hyperlink>
      <w:r w:rsidR="00F3575A">
        <w:rPr>
          <w:rFonts w:ascii="Times New Roman" w:hAnsi="Times New Roman" w:cs="Times New Roman"/>
          <w:sz w:val="28"/>
          <w:szCs w:val="28"/>
        </w:rPr>
        <w:t>).</w:t>
      </w:r>
    </w:p>
    <w:p w:rsidR="00F82DC8" w:rsidRDefault="000D7053" w:rsidP="00F35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</w:t>
      </w:r>
      <w:r w:rsidRPr="00F82DC8">
        <w:rPr>
          <w:rFonts w:ascii="Times New Roman" w:hAnsi="Times New Roman" w:cs="Times New Roman"/>
          <w:sz w:val="28"/>
          <w:szCs w:val="28"/>
        </w:rPr>
        <w:t>рунтується</w:t>
      </w:r>
      <w:r w:rsidR="00F82DC8" w:rsidRPr="00F82DC8">
        <w:rPr>
          <w:rFonts w:ascii="Times New Roman" w:hAnsi="Times New Roman" w:cs="Times New Roman"/>
          <w:sz w:val="28"/>
          <w:szCs w:val="28"/>
        </w:rPr>
        <w:t xml:space="preserve"> на вітчизняному законодавстві: Законі України «Про забезпечення рівних прав та можливостей жінок і чоловіків» від 8 вересня 2005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2DC8" w:rsidRPr="00F82DC8">
        <w:rPr>
          <w:rFonts w:ascii="Times New Roman" w:hAnsi="Times New Roman" w:cs="Times New Roman"/>
          <w:sz w:val="28"/>
          <w:szCs w:val="28"/>
        </w:rPr>
        <w:t>року; Законі України «Про засади запобігання та протидії дискримінації в Україні» від 6 вересня 2012 року;</w:t>
      </w:r>
      <w:r w:rsidR="00495DEB">
        <w:rPr>
          <w:rFonts w:ascii="Times New Roman" w:hAnsi="Times New Roman" w:cs="Times New Roman"/>
          <w:sz w:val="28"/>
          <w:szCs w:val="28"/>
        </w:rPr>
        <w:t xml:space="preserve"> </w:t>
      </w:r>
      <w:r w:rsidR="00495DEB" w:rsidRPr="00F82DC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495DEB" w:rsidRPr="00F82DC8">
        <w:rPr>
          <w:rFonts w:ascii="Times New Roman" w:hAnsi="Times New Roman" w:cs="Times New Roman"/>
          <w:sz w:val="28"/>
          <w:szCs w:val="28"/>
        </w:rPr>
        <w:t xml:space="preserve"> України «Про запобігання та протидію домашньому насильству» (https://zakon.rada.gov.ua/laws/show/2229-19#Text),</w:t>
      </w:r>
      <w:r w:rsidR="00F82DC8" w:rsidRPr="00F8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Законі України «Про освіту»;</w:t>
      </w:r>
      <w:r w:rsidRPr="0089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Законі України «Про вищу освіту»</w:t>
      </w:r>
      <w:r w:rsidRPr="00893B5C">
        <w:rPr>
          <w:rFonts w:ascii="Times New Roman" w:hAnsi="Times New Roman" w:cs="Times New Roman"/>
          <w:sz w:val="28"/>
          <w:szCs w:val="28"/>
        </w:rPr>
        <w:t>;</w:t>
      </w:r>
      <w:r w:rsidRPr="00F82DC8">
        <w:rPr>
          <w:rFonts w:ascii="Times New Roman" w:hAnsi="Times New Roman" w:cs="Times New Roman"/>
          <w:sz w:val="28"/>
          <w:szCs w:val="28"/>
        </w:rPr>
        <w:t xml:space="preserve"> </w:t>
      </w:r>
      <w:r w:rsidR="00F82DC8" w:rsidRPr="00F82DC8">
        <w:rPr>
          <w:rFonts w:ascii="Times New Roman" w:hAnsi="Times New Roman" w:cs="Times New Roman"/>
          <w:sz w:val="28"/>
          <w:szCs w:val="28"/>
        </w:rPr>
        <w:t>Указі Президента України «Про Цілі сталого розвитку України на період до 2030</w:t>
      </w:r>
      <w:r w:rsidR="00893B5C">
        <w:rPr>
          <w:rFonts w:ascii="Times New Roman" w:hAnsi="Times New Roman" w:cs="Times New Roman"/>
          <w:sz w:val="28"/>
          <w:szCs w:val="28"/>
        </w:rPr>
        <w:t xml:space="preserve"> року» від 30 вересня 2019 року; </w:t>
      </w:r>
      <w:r w:rsidR="00F82DC8" w:rsidRPr="00F82DC8">
        <w:rPr>
          <w:rFonts w:ascii="Times New Roman" w:hAnsi="Times New Roman" w:cs="Times New Roman"/>
          <w:sz w:val="28"/>
          <w:szCs w:val="28"/>
        </w:rPr>
        <w:t>Розпорядженні Кабінету Міністрів України від 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2DC8" w:rsidRPr="00F82DC8">
        <w:rPr>
          <w:rFonts w:ascii="Times New Roman" w:hAnsi="Times New Roman" w:cs="Times New Roman"/>
          <w:sz w:val="28"/>
          <w:szCs w:val="28"/>
        </w:rPr>
        <w:t>лютого 2022 року «Про схвалення Стратегії розвитку вищої освіти</w:t>
      </w:r>
      <w:r w:rsidR="00893B5C">
        <w:rPr>
          <w:rFonts w:ascii="Times New Roman" w:hAnsi="Times New Roman" w:cs="Times New Roman"/>
          <w:sz w:val="28"/>
          <w:szCs w:val="28"/>
        </w:rPr>
        <w:t xml:space="preserve"> в Україні на 2022-2032 роки»;</w:t>
      </w:r>
      <w:r w:rsidR="00F82DC8" w:rsidRPr="00F82DC8">
        <w:rPr>
          <w:rFonts w:ascii="Times New Roman" w:hAnsi="Times New Roman" w:cs="Times New Roman"/>
          <w:sz w:val="28"/>
          <w:szCs w:val="28"/>
        </w:rPr>
        <w:t xml:space="preserve"> Розпорядженні Кабінету Міністрів України від 20 грудня 2022 року «Про схвалення Стратегії впровадження гендерної рівності у сфері освіти до 2030 року та затвердження операційного плану заходів на 20</w:t>
      </w:r>
      <w:r w:rsidR="00F3575A">
        <w:rPr>
          <w:rFonts w:ascii="Times New Roman" w:hAnsi="Times New Roman" w:cs="Times New Roman"/>
          <w:sz w:val="28"/>
          <w:szCs w:val="28"/>
        </w:rPr>
        <w:t>22</w:t>
      </w:r>
      <w:r w:rsidR="00561F4E">
        <w:rPr>
          <w:rFonts w:ascii="Times New Roman" w:hAnsi="Times New Roman" w:cs="Times New Roman"/>
          <w:sz w:val="28"/>
          <w:szCs w:val="28"/>
        </w:rPr>
        <w:t>-</w:t>
      </w:r>
      <w:r w:rsidR="00F3575A">
        <w:rPr>
          <w:rFonts w:ascii="Times New Roman" w:hAnsi="Times New Roman" w:cs="Times New Roman"/>
          <w:sz w:val="28"/>
          <w:szCs w:val="28"/>
        </w:rPr>
        <w:t>2024</w:t>
      </w:r>
      <w:r w:rsidR="00561F4E">
        <w:rPr>
          <w:rFonts w:ascii="Times New Roman" w:hAnsi="Times New Roman" w:cs="Times New Roman"/>
          <w:sz w:val="28"/>
          <w:szCs w:val="28"/>
        </w:rPr>
        <w:t> </w:t>
      </w:r>
      <w:r w:rsidR="00F3575A">
        <w:rPr>
          <w:rFonts w:ascii="Times New Roman" w:hAnsi="Times New Roman" w:cs="Times New Roman"/>
          <w:sz w:val="28"/>
          <w:szCs w:val="28"/>
        </w:rPr>
        <w:t>роки з її реалізації».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5A" w:rsidRPr="00F82DC8" w:rsidRDefault="00F3575A" w:rsidP="00F35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Стратегія </w:t>
      </w:r>
      <w:r w:rsidR="00893B5C">
        <w:rPr>
          <w:rFonts w:ascii="Times New Roman" w:hAnsi="Times New Roman" w:cs="Times New Roman"/>
          <w:sz w:val="28"/>
          <w:szCs w:val="28"/>
        </w:rPr>
        <w:t>розроблена відповідно</w:t>
      </w:r>
      <w:r w:rsidRPr="00F3575A">
        <w:rPr>
          <w:rFonts w:ascii="Times New Roman" w:hAnsi="Times New Roman" w:cs="Times New Roman"/>
          <w:sz w:val="28"/>
          <w:szCs w:val="28"/>
        </w:rPr>
        <w:t xml:space="preserve"> до локальних нормативно-правових актів, зокрема Статуту та </w:t>
      </w:r>
      <w:r w:rsidRPr="00B709A0">
        <w:rPr>
          <w:rFonts w:ascii="Times New Roman" w:hAnsi="Times New Roman" w:cs="Times New Roman"/>
          <w:sz w:val="28"/>
          <w:szCs w:val="28"/>
        </w:rPr>
        <w:t>Стратегічного плану розв</w:t>
      </w:r>
      <w:r w:rsidR="0007342D" w:rsidRPr="00B709A0">
        <w:rPr>
          <w:rFonts w:ascii="Times New Roman" w:hAnsi="Times New Roman" w:cs="Times New Roman"/>
          <w:sz w:val="28"/>
          <w:szCs w:val="28"/>
        </w:rPr>
        <w:t>итку у</w:t>
      </w:r>
      <w:r w:rsidRPr="00B709A0">
        <w:rPr>
          <w:rFonts w:ascii="Times New Roman" w:hAnsi="Times New Roman" w:cs="Times New Roman"/>
          <w:sz w:val="28"/>
          <w:szCs w:val="28"/>
        </w:rPr>
        <w:t>ніверситету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D1" w:rsidRDefault="00C673D1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D1">
        <w:rPr>
          <w:rFonts w:ascii="Times New Roman" w:hAnsi="Times New Roman" w:cs="Times New Roman"/>
          <w:sz w:val="28"/>
          <w:szCs w:val="28"/>
        </w:rPr>
        <w:t xml:space="preserve">Мета Гендерної стратегії – визначення шляхів забезпечення гендерної рівності та запобігання дискримінації за гендерною ознакою в усіх сегментах університетського простору. </w:t>
      </w:r>
    </w:p>
    <w:p w:rsidR="00C673D1" w:rsidRDefault="00C673D1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D1">
        <w:rPr>
          <w:rFonts w:ascii="Times New Roman" w:hAnsi="Times New Roman" w:cs="Times New Roman"/>
          <w:sz w:val="28"/>
          <w:szCs w:val="28"/>
        </w:rPr>
        <w:t>Задля реалізації головної мети Гендерної стратегії необхідно</w:t>
      </w:r>
      <w:r w:rsidR="00710709">
        <w:rPr>
          <w:rFonts w:ascii="Times New Roman" w:hAnsi="Times New Roman" w:cs="Times New Roman"/>
          <w:sz w:val="28"/>
          <w:szCs w:val="28"/>
        </w:rPr>
        <w:t xml:space="preserve"> досягти такі стратегічні цілі:</w:t>
      </w:r>
    </w:p>
    <w:p w:rsidR="00556612" w:rsidRPr="00710709" w:rsidRDefault="003D7504" w:rsidP="00710709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09">
        <w:rPr>
          <w:rFonts w:ascii="Times New Roman" w:hAnsi="Times New Roman" w:cs="Times New Roman"/>
          <w:sz w:val="28"/>
          <w:szCs w:val="28"/>
        </w:rPr>
        <w:t xml:space="preserve">посилення, комплексне втілення гендерного компонента в навчальній, науковій та науково-дослідній діяльності з метою подолання </w:t>
      </w:r>
      <w:proofErr w:type="spellStart"/>
      <w:r w:rsidRPr="00710709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="00940120">
        <w:rPr>
          <w:rFonts w:ascii="Times New Roman" w:hAnsi="Times New Roman" w:cs="Times New Roman"/>
          <w:sz w:val="28"/>
          <w:szCs w:val="28"/>
        </w:rPr>
        <w:t xml:space="preserve"> </w:t>
      </w:r>
      <w:r w:rsidRPr="00710709">
        <w:rPr>
          <w:rFonts w:ascii="Times New Roman" w:hAnsi="Times New Roman" w:cs="Times New Roman"/>
          <w:sz w:val="28"/>
          <w:szCs w:val="28"/>
        </w:rPr>
        <w:t xml:space="preserve">зумовлених стереотипів, підвищення рівня гендерної культури, розроблення інноваційних підходів для виявлення і вирішення </w:t>
      </w:r>
      <w:proofErr w:type="spellStart"/>
      <w:r w:rsidRPr="00710709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="00940120">
        <w:rPr>
          <w:rFonts w:ascii="Times New Roman" w:hAnsi="Times New Roman" w:cs="Times New Roman"/>
          <w:sz w:val="28"/>
          <w:szCs w:val="28"/>
        </w:rPr>
        <w:t xml:space="preserve"> </w:t>
      </w:r>
      <w:r w:rsidRPr="00710709">
        <w:rPr>
          <w:rFonts w:ascii="Times New Roman" w:hAnsi="Times New Roman" w:cs="Times New Roman"/>
          <w:sz w:val="28"/>
          <w:szCs w:val="28"/>
        </w:rPr>
        <w:t>чутливих проблем в освітньому процесі</w:t>
      </w:r>
      <w:r w:rsidR="00710709" w:rsidRPr="00710709">
        <w:rPr>
          <w:rFonts w:ascii="Times New Roman" w:hAnsi="Times New Roman" w:cs="Times New Roman"/>
          <w:sz w:val="28"/>
          <w:szCs w:val="28"/>
        </w:rPr>
        <w:t xml:space="preserve"> та академічному середовищі;</w:t>
      </w:r>
    </w:p>
    <w:p w:rsidR="00EE11E6" w:rsidRPr="00710709" w:rsidRDefault="00C52B9B" w:rsidP="0071070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09">
        <w:rPr>
          <w:rFonts w:ascii="Times New Roman" w:hAnsi="Times New Roman" w:cs="Times New Roman"/>
          <w:sz w:val="28"/>
          <w:szCs w:val="28"/>
        </w:rPr>
        <w:t xml:space="preserve">поглиблення компетенції і професійних можливостей </w:t>
      </w:r>
      <w:proofErr w:type="spellStart"/>
      <w:r w:rsidRPr="00710709">
        <w:rPr>
          <w:rFonts w:ascii="Times New Roman" w:hAnsi="Times New Roman" w:cs="Times New Roman"/>
          <w:sz w:val="28"/>
          <w:szCs w:val="28"/>
        </w:rPr>
        <w:t>фахівчинь</w:t>
      </w:r>
      <w:proofErr w:type="spellEnd"/>
      <w:r w:rsidRPr="00710709">
        <w:rPr>
          <w:rFonts w:ascii="Times New Roman" w:hAnsi="Times New Roman" w:cs="Times New Roman"/>
          <w:sz w:val="28"/>
          <w:szCs w:val="28"/>
        </w:rPr>
        <w:t>/фахівців щодо забезпечення рівних прав та можливостей жінок і чоловіків, розширення міжнародного співробітництва у сфері освіти в цілому та в питаннях апробації позитивного зарубіжного досвіду дотримання гендерної рівності;</w:t>
      </w:r>
      <w:r w:rsidR="00EE11E6" w:rsidRPr="0071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01" w:rsidRPr="00710709" w:rsidRDefault="00EE11E6" w:rsidP="0071070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09">
        <w:rPr>
          <w:rFonts w:ascii="Times New Roman" w:hAnsi="Times New Roman" w:cs="Times New Roman"/>
          <w:sz w:val="28"/>
          <w:szCs w:val="28"/>
        </w:rPr>
        <w:t xml:space="preserve">формування культури гендерної рівності, активізацію інформаційно-просвітницької діяльності серед університетської спільноти та активне просування </w:t>
      </w:r>
      <w:proofErr w:type="spellStart"/>
      <w:r w:rsidRPr="00710709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="00940120">
        <w:rPr>
          <w:rFonts w:ascii="Times New Roman" w:hAnsi="Times New Roman" w:cs="Times New Roman"/>
          <w:sz w:val="28"/>
          <w:szCs w:val="28"/>
        </w:rPr>
        <w:t xml:space="preserve"> </w:t>
      </w:r>
      <w:r w:rsidRPr="00710709">
        <w:rPr>
          <w:rFonts w:ascii="Times New Roman" w:hAnsi="Times New Roman" w:cs="Times New Roman"/>
          <w:sz w:val="28"/>
          <w:szCs w:val="28"/>
        </w:rPr>
        <w:t xml:space="preserve">коректних </w:t>
      </w:r>
      <w:proofErr w:type="spellStart"/>
      <w:r w:rsidRPr="00710709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Pr="00710709">
        <w:rPr>
          <w:rFonts w:ascii="Times New Roman" w:hAnsi="Times New Roman" w:cs="Times New Roman"/>
          <w:sz w:val="28"/>
          <w:szCs w:val="28"/>
        </w:rPr>
        <w:t xml:space="preserve"> у вітчизняному освітньому просторі.</w:t>
      </w:r>
      <w:r w:rsidR="002B6401" w:rsidRPr="0071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B9B" w:rsidRPr="00710709" w:rsidRDefault="002B6401" w:rsidP="0071070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09">
        <w:rPr>
          <w:rFonts w:ascii="Times New Roman" w:hAnsi="Times New Roman" w:cs="Times New Roman"/>
          <w:sz w:val="28"/>
          <w:szCs w:val="28"/>
        </w:rPr>
        <w:t xml:space="preserve">встановлення стійких робочих </w:t>
      </w:r>
      <w:proofErr w:type="spellStart"/>
      <w:r w:rsidRPr="00710709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10709">
        <w:rPr>
          <w:rFonts w:ascii="Times New Roman" w:hAnsi="Times New Roman" w:cs="Times New Roman"/>
          <w:sz w:val="28"/>
          <w:szCs w:val="28"/>
        </w:rPr>
        <w:t xml:space="preserve"> та забезпечення взаємодії з органами, долученими до формування і реалізації гендерної політики </w:t>
      </w:r>
      <w:r w:rsidRPr="00710709">
        <w:rPr>
          <w:rFonts w:ascii="Times New Roman" w:hAnsi="Times New Roman" w:cs="Times New Roman"/>
          <w:sz w:val="28"/>
          <w:szCs w:val="28"/>
        </w:rPr>
        <w:lastRenderedPageBreak/>
        <w:t>(Міністерством соціальної політики України, Урядовим уповноваженим з питань гендерної політики, уповноваженим з гендерної рівності в Міністерстві освіти і науки України, профільними вітчизняними та міжнародними громадськими організаціями тощо);</w:t>
      </w:r>
    </w:p>
    <w:p w:rsidR="00C673D1" w:rsidRDefault="00710709" w:rsidP="009401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73D1" w:rsidRPr="00C673D1">
        <w:rPr>
          <w:rFonts w:ascii="Times New Roman" w:hAnsi="Times New Roman" w:cs="Times New Roman"/>
          <w:sz w:val="28"/>
          <w:szCs w:val="28"/>
        </w:rPr>
        <w:t xml:space="preserve"> формування консультативної групи з питань гендерної рівності та запобігання дискримінації з числа представників усіх підгруп університетської спільноти.</w:t>
      </w:r>
    </w:p>
    <w:p w:rsidR="003B2CF9" w:rsidRDefault="003B2CF9" w:rsidP="006E6D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725184">
        <w:rPr>
          <w:rFonts w:ascii="Times New Roman" w:hAnsi="Times New Roman" w:cs="Times New Roman"/>
          <w:b/>
          <w:sz w:val="28"/>
          <w:szCs w:val="28"/>
        </w:rPr>
        <w:t>. Порядок проведення моніторингу, оцінювання результатів реалізації Стратегії та звітування</w:t>
      </w:r>
    </w:p>
    <w:p w:rsidR="003B2CF9" w:rsidRDefault="003B2CF9" w:rsidP="003B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реалізації с</w:t>
      </w:r>
      <w:r w:rsidRPr="00725184">
        <w:rPr>
          <w:rFonts w:ascii="Times New Roman" w:hAnsi="Times New Roman" w:cs="Times New Roman"/>
          <w:sz w:val="28"/>
          <w:szCs w:val="28"/>
        </w:rPr>
        <w:t>тратегії обговорюються на за</w:t>
      </w:r>
      <w:r>
        <w:rPr>
          <w:rFonts w:ascii="Times New Roman" w:hAnsi="Times New Roman" w:cs="Times New Roman"/>
          <w:sz w:val="28"/>
          <w:szCs w:val="28"/>
        </w:rPr>
        <w:t>сіданнях вчених рад факультетів, вченої ради у</w:t>
      </w:r>
      <w:r w:rsidRPr="00725184">
        <w:rPr>
          <w:rFonts w:ascii="Times New Roman" w:hAnsi="Times New Roman" w:cs="Times New Roman"/>
          <w:sz w:val="28"/>
          <w:szCs w:val="28"/>
        </w:rPr>
        <w:t xml:space="preserve">ніверситету. </w:t>
      </w:r>
      <w:r w:rsidR="006E6D86">
        <w:rPr>
          <w:rFonts w:ascii="Times New Roman" w:hAnsi="Times New Roman" w:cs="Times New Roman"/>
          <w:sz w:val="28"/>
          <w:szCs w:val="28"/>
        </w:rPr>
        <w:t xml:space="preserve">Контроль за виконанням Гендерної стратегії СНАУ покладається на проректора з наукової та міжнародної діяльності. </w:t>
      </w:r>
      <w:r w:rsidRPr="00725184">
        <w:rPr>
          <w:rFonts w:ascii="Times New Roman" w:hAnsi="Times New Roman" w:cs="Times New Roman"/>
          <w:sz w:val="28"/>
          <w:szCs w:val="28"/>
        </w:rPr>
        <w:t xml:space="preserve">Передбачається щорічне проведення </w:t>
      </w:r>
      <w:proofErr w:type="spellStart"/>
      <w:r w:rsidRPr="00725184">
        <w:rPr>
          <w:rFonts w:ascii="Times New Roman" w:hAnsi="Times New Roman" w:cs="Times New Roman"/>
          <w:sz w:val="28"/>
          <w:szCs w:val="28"/>
        </w:rPr>
        <w:t>антидискримінаційної</w:t>
      </w:r>
      <w:proofErr w:type="spellEnd"/>
      <w:r w:rsidRPr="00725184">
        <w:rPr>
          <w:rFonts w:ascii="Times New Roman" w:hAnsi="Times New Roman" w:cs="Times New Roman"/>
          <w:sz w:val="28"/>
          <w:szCs w:val="28"/>
        </w:rPr>
        <w:t xml:space="preserve"> експертизи, гендерного аудиту, встановлення проміжних індикаторів успішн</w:t>
      </w:r>
      <w:r>
        <w:rPr>
          <w:rFonts w:ascii="Times New Roman" w:hAnsi="Times New Roman" w:cs="Times New Roman"/>
          <w:sz w:val="28"/>
          <w:szCs w:val="28"/>
        </w:rPr>
        <w:t>ості реалізації Гендерної стратегії з</w:t>
      </w:r>
      <w:r w:rsidRPr="00725184">
        <w:rPr>
          <w:rFonts w:ascii="Times New Roman" w:hAnsi="Times New Roman" w:cs="Times New Roman"/>
          <w:sz w:val="28"/>
          <w:szCs w:val="28"/>
        </w:rPr>
        <w:t xml:space="preserve">а результатами проведення засідань </w:t>
      </w:r>
      <w:r w:rsidRPr="00B709A0">
        <w:rPr>
          <w:rFonts w:ascii="Times New Roman" w:hAnsi="Times New Roman" w:cs="Times New Roman"/>
          <w:sz w:val="28"/>
          <w:szCs w:val="28"/>
        </w:rPr>
        <w:t>Комісія із забезпечення рівних прав та можливостей жінок і чоловіків складає річний звіт про виконання стратегії.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1C6">
        <w:rPr>
          <w:rFonts w:ascii="Times New Roman" w:hAnsi="Times New Roman" w:cs="Times New Roman"/>
          <w:sz w:val="28"/>
          <w:szCs w:val="28"/>
        </w:rPr>
        <w:t>Розробка поетапного плану заходів на основі внутрішнього гендерного аудиту.</w:t>
      </w:r>
      <w:r w:rsidRPr="004211C6">
        <w:t xml:space="preserve"> </w:t>
      </w:r>
      <w:r w:rsidRPr="004211C6">
        <w:rPr>
          <w:rFonts w:ascii="Times New Roman" w:hAnsi="Times New Roman" w:cs="Times New Roman"/>
          <w:sz w:val="28"/>
          <w:szCs w:val="28"/>
        </w:rPr>
        <w:t>Формування щорічного «гендерного календаря», у якому будуть відмічені інформаційно-просвітницькі заходи, присвячені зазначеним важливим датам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CF9" w:rsidRPr="00B16709" w:rsidRDefault="003B2CF9" w:rsidP="003B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709">
        <w:rPr>
          <w:rFonts w:ascii="Times New Roman" w:hAnsi="Times New Roman" w:cs="Times New Roman"/>
          <w:sz w:val="28"/>
          <w:szCs w:val="28"/>
        </w:rPr>
        <w:t>Під час проведення оцінювання результатів реалізації Гендерної стратегії враховується статистична інформація, результати соціологічних, наукових досліджень, опитування членів університетської спільноти, громадської думки, моніторинг забезпечення рівних прав та можливостей жінок і чоловіків в університеті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D1" w:rsidRPr="00AF2896" w:rsidRDefault="00C673D1" w:rsidP="006E6D8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3D1">
        <w:rPr>
          <w:rFonts w:ascii="Times New Roman" w:hAnsi="Times New Roman" w:cs="Times New Roman"/>
          <w:b/>
          <w:sz w:val="28"/>
          <w:szCs w:val="28"/>
        </w:rPr>
        <w:t>Завдання Гендерної стратегії</w:t>
      </w:r>
      <w:r w:rsidR="00AF2896">
        <w:rPr>
          <w:rFonts w:ascii="Times New Roman" w:hAnsi="Times New Roman" w:cs="Times New Roman"/>
          <w:b/>
          <w:sz w:val="28"/>
          <w:szCs w:val="28"/>
        </w:rPr>
        <w:t>.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t xml:space="preserve">Задля реалізації стратегічних цілей необхідне виконання таких завдань: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проведення гендерної експертизи документаційної бази та інтернет представництва університету, вироблення експертних оцінок та (у разі потреби) формулювання коректив; аналіз внутрішніх нормативних документів (положень, порядків), що регламентують освітню, виховну, культурну, організаційну, </w:t>
      </w:r>
      <w:r w:rsidR="00940120" w:rsidRPr="00AF2896">
        <w:rPr>
          <w:rFonts w:ascii="Times New Roman" w:hAnsi="Times New Roman" w:cs="Times New Roman"/>
          <w:sz w:val="28"/>
          <w:szCs w:val="28"/>
        </w:rPr>
        <w:t>фінансово-господарську</w:t>
      </w:r>
      <w:r w:rsidRPr="00AF2896">
        <w:rPr>
          <w:rFonts w:ascii="Times New Roman" w:hAnsi="Times New Roman" w:cs="Times New Roman"/>
          <w:sz w:val="28"/>
          <w:szCs w:val="28"/>
        </w:rPr>
        <w:t xml:space="preserve"> діяльність університету</w:t>
      </w:r>
      <w:r w:rsidR="00D83F29">
        <w:rPr>
          <w:rFonts w:ascii="Times New Roman" w:hAnsi="Times New Roman" w:cs="Times New Roman"/>
          <w:sz w:val="28"/>
          <w:szCs w:val="28"/>
        </w:rPr>
        <w:t xml:space="preserve"> (протягом 2024 року)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здійснення гендерного аналізу освітніх програм дисциплін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соціогуманітарного</w:t>
      </w:r>
      <w:proofErr w:type="spellEnd"/>
      <w:r w:rsidRPr="00AF2896">
        <w:rPr>
          <w:rFonts w:ascii="Times New Roman" w:hAnsi="Times New Roman" w:cs="Times New Roman"/>
          <w:sz w:val="28"/>
          <w:szCs w:val="28"/>
        </w:rPr>
        <w:t xml:space="preserve"> профілю на предмет механічного відтворення гендерних стереотипів та непрямої трансляції гендерної дискримінації із подальшим виробленням (у разі потреби) рекомендацій щодо коригування програм</w:t>
      </w:r>
      <w:r w:rsidR="00D83F29">
        <w:rPr>
          <w:rFonts w:ascii="Times New Roman" w:hAnsi="Times New Roman" w:cs="Times New Roman"/>
          <w:sz w:val="28"/>
          <w:szCs w:val="28"/>
        </w:rPr>
        <w:t xml:space="preserve"> (протягом 2024-2025 років)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гендерний аудит лідерських стилів, застосованих керівництвом університету та його підрозділів; розвиток майданчику обміну досвідом у вигляді гендерної школи лідерства для керівного персоналу університету та кадрового резерву</w:t>
      </w:r>
      <w:r w:rsidR="00D83F29">
        <w:rPr>
          <w:rFonts w:ascii="Times New Roman" w:hAnsi="Times New Roman" w:cs="Times New Roman"/>
          <w:sz w:val="28"/>
          <w:szCs w:val="28"/>
        </w:rPr>
        <w:t xml:space="preserve"> (протягом2024 року)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запобігання вульгаризації та примітивізації гендерного підходу, до чого призводить практика звуження проблематики до жіночих досліджень та феміністичного виміру;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розробка</w:t>
      </w:r>
      <w:r w:rsidR="00D83F29">
        <w:rPr>
          <w:rFonts w:ascii="Times New Roman" w:hAnsi="Times New Roman" w:cs="Times New Roman"/>
          <w:sz w:val="28"/>
          <w:szCs w:val="28"/>
        </w:rPr>
        <w:t xml:space="preserve"> та перегляд</w:t>
      </w:r>
      <w:r w:rsidRPr="00AF2896">
        <w:rPr>
          <w:rFonts w:ascii="Times New Roman" w:hAnsi="Times New Roman" w:cs="Times New Roman"/>
          <w:sz w:val="28"/>
          <w:szCs w:val="28"/>
        </w:rPr>
        <w:t xml:space="preserve"> програм факультативних курсів, лекцій,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міжфакультетських</w:t>
      </w:r>
      <w:proofErr w:type="spellEnd"/>
      <w:r w:rsidRPr="00AF2896">
        <w:rPr>
          <w:rFonts w:ascii="Times New Roman" w:hAnsi="Times New Roman" w:cs="Times New Roman"/>
          <w:sz w:val="28"/>
          <w:szCs w:val="28"/>
        </w:rPr>
        <w:t xml:space="preserve"> дисциплін, семінарів, майстер-класів, курсів підвищення кваліфікації, кураторських </w:t>
      </w:r>
      <w:r w:rsidR="00940120">
        <w:rPr>
          <w:rFonts w:ascii="Times New Roman" w:hAnsi="Times New Roman" w:cs="Times New Roman"/>
          <w:sz w:val="28"/>
          <w:szCs w:val="28"/>
        </w:rPr>
        <w:t>годин</w:t>
      </w:r>
      <w:r w:rsidRPr="00AF2896">
        <w:rPr>
          <w:rFonts w:ascii="Times New Roman" w:hAnsi="Times New Roman" w:cs="Times New Roman"/>
          <w:sz w:val="28"/>
          <w:szCs w:val="28"/>
        </w:rPr>
        <w:t xml:space="preserve">, спрямованих на задоволення пізнавальних потреб університетської спільноти в галузі гендерної проблематики та на розвиток гендерної компетентності </w:t>
      </w:r>
      <w:r w:rsidR="005B286C" w:rsidRPr="005B286C">
        <w:rPr>
          <w:rFonts w:ascii="Times New Roman" w:hAnsi="Times New Roman" w:cs="Times New Roman"/>
          <w:sz w:val="28"/>
          <w:szCs w:val="28"/>
        </w:rPr>
        <w:t>здобувачок/здобувачів вищої освіти</w:t>
      </w:r>
      <w:r w:rsidRPr="00AF2896">
        <w:rPr>
          <w:rFonts w:ascii="Times New Roman" w:hAnsi="Times New Roman" w:cs="Times New Roman"/>
          <w:sz w:val="28"/>
          <w:szCs w:val="28"/>
        </w:rPr>
        <w:t xml:space="preserve">, </w:t>
      </w:r>
      <w:r w:rsidR="0007342D">
        <w:rPr>
          <w:rFonts w:ascii="Times New Roman" w:hAnsi="Times New Roman" w:cs="Times New Roman"/>
          <w:sz w:val="28"/>
          <w:szCs w:val="28"/>
        </w:rPr>
        <w:t>викладачок</w:t>
      </w:r>
      <w:r w:rsidR="0007342D" w:rsidRPr="0007342D">
        <w:rPr>
          <w:rFonts w:ascii="Times New Roman" w:hAnsi="Times New Roman" w:cs="Times New Roman"/>
          <w:sz w:val="28"/>
          <w:szCs w:val="28"/>
        </w:rPr>
        <w:t>/</w:t>
      </w:r>
      <w:r w:rsidRPr="00AF2896">
        <w:rPr>
          <w:rFonts w:ascii="Times New Roman" w:hAnsi="Times New Roman" w:cs="Times New Roman"/>
          <w:sz w:val="28"/>
          <w:szCs w:val="28"/>
        </w:rPr>
        <w:t xml:space="preserve">викладачів, </w:t>
      </w:r>
      <w:r w:rsidR="0007342D">
        <w:rPr>
          <w:rFonts w:ascii="Times New Roman" w:hAnsi="Times New Roman" w:cs="Times New Roman"/>
          <w:sz w:val="28"/>
          <w:szCs w:val="28"/>
        </w:rPr>
        <w:t>працівниць</w:t>
      </w:r>
      <w:r w:rsidR="0007342D" w:rsidRPr="0007342D">
        <w:rPr>
          <w:rFonts w:ascii="Times New Roman" w:hAnsi="Times New Roman" w:cs="Times New Roman"/>
          <w:sz w:val="28"/>
          <w:szCs w:val="28"/>
        </w:rPr>
        <w:t>/</w:t>
      </w:r>
      <w:r w:rsidRPr="00AF2896">
        <w:rPr>
          <w:rFonts w:ascii="Times New Roman" w:hAnsi="Times New Roman" w:cs="Times New Roman"/>
          <w:sz w:val="28"/>
          <w:szCs w:val="28"/>
        </w:rPr>
        <w:t xml:space="preserve">працівників та керівництва університету;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вдосконалення практик уведення до документообігу принци</w:t>
      </w:r>
      <w:r w:rsidR="0007342D">
        <w:rPr>
          <w:rFonts w:ascii="Times New Roman" w:hAnsi="Times New Roman" w:cs="Times New Roman"/>
          <w:sz w:val="28"/>
          <w:szCs w:val="28"/>
        </w:rPr>
        <w:t xml:space="preserve">пів </w:t>
      </w:r>
      <w:proofErr w:type="spellStart"/>
      <w:r w:rsidR="0007342D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="0007342D">
        <w:rPr>
          <w:rFonts w:ascii="Times New Roman" w:hAnsi="Times New Roman" w:cs="Times New Roman"/>
          <w:sz w:val="28"/>
          <w:szCs w:val="28"/>
        </w:rPr>
        <w:t xml:space="preserve"> чутливого мовлення/</w:t>
      </w:r>
      <w:r w:rsidRPr="00AF2896">
        <w:rPr>
          <w:rFonts w:ascii="Times New Roman" w:hAnsi="Times New Roman" w:cs="Times New Roman"/>
          <w:sz w:val="28"/>
          <w:szCs w:val="28"/>
        </w:rPr>
        <w:t xml:space="preserve">мови із орієнтиром на впровадження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AF2896">
        <w:rPr>
          <w:rFonts w:ascii="Times New Roman" w:hAnsi="Times New Roman" w:cs="Times New Roman"/>
          <w:sz w:val="28"/>
          <w:szCs w:val="28"/>
        </w:rPr>
        <w:t xml:space="preserve"> стратегій нейтралізації та уникнення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сексизму</w:t>
      </w:r>
      <w:proofErr w:type="spellEnd"/>
      <w:r w:rsidR="00D83F29">
        <w:rPr>
          <w:rFonts w:ascii="Times New Roman" w:hAnsi="Times New Roman" w:cs="Times New Roman"/>
          <w:sz w:val="28"/>
          <w:szCs w:val="28"/>
        </w:rPr>
        <w:t xml:space="preserve"> (за потреби)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79F3" w:rsidRDefault="00AF2896" w:rsidP="00EE7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розроблення</w:t>
      </w:r>
      <w:r w:rsidR="00D83F29">
        <w:rPr>
          <w:rFonts w:ascii="Times New Roman" w:hAnsi="Times New Roman" w:cs="Times New Roman"/>
          <w:sz w:val="28"/>
          <w:szCs w:val="28"/>
        </w:rPr>
        <w:t xml:space="preserve"> та перегляд</w:t>
      </w:r>
      <w:r w:rsidRPr="00AF2896">
        <w:rPr>
          <w:rFonts w:ascii="Times New Roman" w:hAnsi="Times New Roman" w:cs="Times New Roman"/>
          <w:sz w:val="28"/>
          <w:szCs w:val="28"/>
        </w:rPr>
        <w:t xml:space="preserve"> систем регу</w:t>
      </w:r>
      <w:r w:rsidR="002B6401">
        <w:rPr>
          <w:rFonts w:ascii="Times New Roman" w:hAnsi="Times New Roman" w:cs="Times New Roman"/>
          <w:sz w:val="28"/>
          <w:szCs w:val="28"/>
        </w:rPr>
        <w:t xml:space="preserve">лярного гендерного моніторингу </w:t>
      </w:r>
      <w:r w:rsidRPr="00AF2896">
        <w:rPr>
          <w:rFonts w:ascii="Times New Roman" w:hAnsi="Times New Roman" w:cs="Times New Roman"/>
          <w:sz w:val="28"/>
          <w:szCs w:val="28"/>
        </w:rPr>
        <w:t>напрямків діяльності університету</w:t>
      </w:r>
      <w:r w:rsidR="00D83F29">
        <w:rPr>
          <w:rFonts w:ascii="Times New Roman" w:hAnsi="Times New Roman" w:cs="Times New Roman"/>
          <w:sz w:val="28"/>
          <w:szCs w:val="28"/>
        </w:rPr>
        <w:t xml:space="preserve"> (на початку кожного навчального року)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3A6F" w:rsidRDefault="00EE79F3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6F">
        <w:rPr>
          <w:rFonts w:ascii="Times New Roman" w:hAnsi="Times New Roman" w:cs="Times New Roman"/>
          <w:sz w:val="28"/>
          <w:szCs w:val="28"/>
        </w:rPr>
        <w:t>ф</w:t>
      </w:r>
      <w:r w:rsidR="00453A6F" w:rsidRPr="00453A6F">
        <w:rPr>
          <w:rFonts w:ascii="Times New Roman" w:hAnsi="Times New Roman" w:cs="Times New Roman"/>
          <w:sz w:val="28"/>
          <w:szCs w:val="28"/>
        </w:rPr>
        <w:t>ормувати нормативну базу реалізації політики гендерної рівності та постійно</w:t>
      </w:r>
      <w:r w:rsidR="00453A6F">
        <w:rPr>
          <w:rFonts w:ascii="Times New Roman" w:hAnsi="Times New Roman" w:cs="Times New Roman"/>
          <w:sz w:val="28"/>
          <w:szCs w:val="28"/>
        </w:rPr>
        <w:t xml:space="preserve"> оприлюднювати її на сайті СНАУ</w:t>
      </w:r>
      <w:r w:rsidR="00453A6F" w:rsidRPr="00453A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3A6F" w:rsidRDefault="00495DEB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6F">
        <w:rPr>
          <w:rFonts w:ascii="Times New Roman" w:hAnsi="Times New Roman" w:cs="Times New Roman"/>
          <w:sz w:val="28"/>
          <w:szCs w:val="28"/>
        </w:rPr>
        <w:t>п</w:t>
      </w:r>
      <w:r w:rsidR="00453A6F" w:rsidRPr="00453A6F">
        <w:rPr>
          <w:rFonts w:ascii="Times New Roman" w:hAnsi="Times New Roman" w:cs="Times New Roman"/>
          <w:sz w:val="28"/>
          <w:szCs w:val="28"/>
        </w:rPr>
        <w:t>ровести гендерний аналіз кадров</w:t>
      </w:r>
      <w:r w:rsidR="00453A6F">
        <w:rPr>
          <w:rFonts w:ascii="Times New Roman" w:hAnsi="Times New Roman" w:cs="Times New Roman"/>
          <w:sz w:val="28"/>
          <w:szCs w:val="28"/>
        </w:rPr>
        <w:t>ої політики та кадрового складу</w:t>
      </w:r>
      <w:r w:rsidR="00453A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3A6F" w:rsidRPr="00453A6F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453A6F" w:rsidRPr="00453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A6F">
        <w:rPr>
          <w:rFonts w:ascii="Times New Roman" w:hAnsi="Times New Roman" w:cs="Times New Roman"/>
          <w:sz w:val="28"/>
          <w:szCs w:val="28"/>
        </w:rPr>
        <w:t>плинності кадрів,</w:t>
      </w:r>
      <w:r w:rsidR="00453A6F" w:rsidRPr="00453A6F">
        <w:rPr>
          <w:rFonts w:ascii="Times New Roman" w:hAnsi="Times New Roman" w:cs="Times New Roman"/>
          <w:sz w:val="28"/>
          <w:szCs w:val="28"/>
        </w:rPr>
        <w:t xml:space="preserve"> оплати праці та</w:t>
      </w:r>
      <w:r w:rsidR="00453A6F" w:rsidRPr="00453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A6F">
        <w:rPr>
          <w:rFonts w:ascii="Times New Roman" w:hAnsi="Times New Roman" w:cs="Times New Roman"/>
          <w:sz w:val="28"/>
          <w:szCs w:val="28"/>
        </w:rPr>
        <w:t>винагород працівниць</w:t>
      </w:r>
      <w:r w:rsidR="00453A6F" w:rsidRPr="00453A6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53A6F">
        <w:rPr>
          <w:rFonts w:ascii="Times New Roman" w:hAnsi="Times New Roman" w:cs="Times New Roman"/>
          <w:sz w:val="28"/>
          <w:szCs w:val="28"/>
        </w:rPr>
        <w:t>працівників,</w:t>
      </w:r>
      <w:r w:rsidR="00453A6F" w:rsidRPr="00453A6F">
        <w:rPr>
          <w:rFonts w:ascii="Times New Roman" w:hAnsi="Times New Roman" w:cs="Times New Roman"/>
          <w:sz w:val="28"/>
          <w:szCs w:val="28"/>
        </w:rPr>
        <w:t xml:space="preserve"> індивідуальних програм професійного розвитку, висновків</w:t>
      </w:r>
      <w:r w:rsidR="00453A6F" w:rsidRPr="00453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A6F" w:rsidRPr="00453A6F">
        <w:rPr>
          <w:rFonts w:ascii="Times New Roman" w:hAnsi="Times New Roman" w:cs="Times New Roman"/>
          <w:sz w:val="28"/>
          <w:szCs w:val="28"/>
        </w:rPr>
        <w:t xml:space="preserve">результатів оцінювання професійної кваліфікації чи професійної компетентності </w:t>
      </w:r>
      <w:r w:rsidR="00D73AAD">
        <w:rPr>
          <w:rFonts w:ascii="Times New Roman" w:hAnsi="Times New Roman" w:cs="Times New Roman"/>
          <w:sz w:val="28"/>
          <w:szCs w:val="28"/>
        </w:rPr>
        <w:t>працівниць</w:t>
      </w:r>
      <w:r w:rsidR="00D73AAD" w:rsidRPr="00D73AA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53A6F" w:rsidRPr="00453A6F">
        <w:rPr>
          <w:rFonts w:ascii="Times New Roman" w:hAnsi="Times New Roman" w:cs="Times New Roman"/>
          <w:sz w:val="28"/>
          <w:szCs w:val="28"/>
        </w:rPr>
        <w:t>працівників, а також виявлення ступеню розуміння принципу забезпечення рівних прав та можливостей жінок і чоловіків та наявних знань як у</w:t>
      </w:r>
      <w:r w:rsidR="00D73AAD">
        <w:rPr>
          <w:rFonts w:ascii="Times New Roman" w:hAnsi="Times New Roman" w:cs="Times New Roman"/>
          <w:sz w:val="28"/>
          <w:szCs w:val="28"/>
        </w:rPr>
        <w:t xml:space="preserve"> </w:t>
      </w:r>
      <w:r w:rsidR="00453A6F" w:rsidRPr="00453A6F">
        <w:rPr>
          <w:rFonts w:ascii="Times New Roman" w:hAnsi="Times New Roman" w:cs="Times New Roman"/>
          <w:sz w:val="28"/>
          <w:szCs w:val="28"/>
        </w:rPr>
        <w:t xml:space="preserve">керівництва, так і </w:t>
      </w:r>
      <w:r w:rsidR="009C2C2B">
        <w:rPr>
          <w:rFonts w:ascii="Times New Roman" w:hAnsi="Times New Roman" w:cs="Times New Roman"/>
          <w:sz w:val="28"/>
          <w:szCs w:val="28"/>
        </w:rPr>
        <w:t>працівниць</w:t>
      </w:r>
      <w:r w:rsidR="009C2C2B" w:rsidRPr="009C2C2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53A6F" w:rsidRPr="00453A6F">
        <w:rPr>
          <w:rFonts w:ascii="Times New Roman" w:hAnsi="Times New Roman" w:cs="Times New Roman"/>
          <w:sz w:val="28"/>
          <w:szCs w:val="28"/>
        </w:rPr>
        <w:t>працівників, визначення потреб</w:t>
      </w:r>
      <w:r w:rsidR="00D73AAD">
        <w:rPr>
          <w:rFonts w:ascii="Times New Roman" w:hAnsi="Times New Roman" w:cs="Times New Roman"/>
          <w:sz w:val="28"/>
          <w:szCs w:val="28"/>
        </w:rPr>
        <w:t xml:space="preserve"> у навчанні з питань гендерної р</w:t>
      </w:r>
      <w:r w:rsidR="00453A6F" w:rsidRPr="00453A6F">
        <w:rPr>
          <w:rFonts w:ascii="Times New Roman" w:hAnsi="Times New Roman" w:cs="Times New Roman"/>
          <w:sz w:val="28"/>
          <w:szCs w:val="28"/>
        </w:rPr>
        <w:t>івност</w:t>
      </w:r>
      <w:r w:rsidR="009C2C2B">
        <w:rPr>
          <w:rFonts w:ascii="Times New Roman" w:hAnsi="Times New Roman" w:cs="Times New Roman"/>
          <w:sz w:val="28"/>
          <w:szCs w:val="28"/>
        </w:rPr>
        <w:t>і</w:t>
      </w:r>
      <w:r w:rsidR="00D83F29">
        <w:rPr>
          <w:rFonts w:ascii="Times New Roman" w:hAnsi="Times New Roman" w:cs="Times New Roman"/>
          <w:sz w:val="28"/>
          <w:szCs w:val="28"/>
        </w:rPr>
        <w:t xml:space="preserve"> (постійно)</w:t>
      </w:r>
      <w:r w:rsidR="009C2C2B" w:rsidRPr="009C2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127E" w:rsidRPr="0085127E" w:rsidRDefault="00495DEB" w:rsidP="00495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екомендувати органам с</w:t>
      </w:r>
      <w:r w:rsidR="0085127E" w:rsidRPr="0085127E">
        <w:rPr>
          <w:rFonts w:ascii="Times New Roman" w:hAnsi="Times New Roman" w:cs="Times New Roman"/>
          <w:sz w:val="28"/>
          <w:szCs w:val="28"/>
        </w:rPr>
        <w:t>тудентського самоврядування включити до плану роботи превентивні заходи щодо забезпечення реалізації принципів гендерної рівності</w:t>
      </w:r>
      <w:r w:rsidR="0085127E" w:rsidRPr="008512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розробка схеми та здійснення глибинного аналізу гендерного виміру кадрової політики університету, експертиза кадрового потенціалу університету крізь призму завдання досягнення гендерного паритету; формування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AF2896">
        <w:rPr>
          <w:rFonts w:ascii="Times New Roman" w:hAnsi="Times New Roman" w:cs="Times New Roman"/>
          <w:sz w:val="28"/>
          <w:szCs w:val="28"/>
        </w:rPr>
        <w:t xml:space="preserve"> чутливого освітнього середовища на всіх факультетах університету із урахуванням їхньої освітньо-професійної та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AF2896">
        <w:rPr>
          <w:rFonts w:ascii="Times New Roman" w:hAnsi="Times New Roman" w:cs="Times New Roman"/>
          <w:sz w:val="28"/>
          <w:szCs w:val="28"/>
        </w:rPr>
        <w:t xml:space="preserve">-наукової специфіки; проведення досліджень сприйняття та рівня задоволеності гендерним </w:t>
      </w:r>
      <w:proofErr w:type="spellStart"/>
      <w:r w:rsidRPr="00AF2896">
        <w:rPr>
          <w:rFonts w:ascii="Times New Roman" w:hAnsi="Times New Roman" w:cs="Times New Roman"/>
          <w:sz w:val="28"/>
          <w:szCs w:val="28"/>
        </w:rPr>
        <w:t>іміджем</w:t>
      </w:r>
      <w:proofErr w:type="spellEnd"/>
      <w:r w:rsidRPr="00AF2896">
        <w:rPr>
          <w:rFonts w:ascii="Times New Roman" w:hAnsi="Times New Roman" w:cs="Times New Roman"/>
          <w:sz w:val="28"/>
          <w:szCs w:val="28"/>
        </w:rPr>
        <w:t xml:space="preserve"> університету </w:t>
      </w:r>
      <w:r w:rsidR="0007342D">
        <w:rPr>
          <w:rFonts w:ascii="Times New Roman" w:hAnsi="Times New Roman" w:cs="Times New Roman"/>
          <w:sz w:val="28"/>
          <w:szCs w:val="28"/>
        </w:rPr>
        <w:t>викладачками</w:t>
      </w:r>
      <w:r w:rsidR="0007342D" w:rsidRPr="0007342D">
        <w:rPr>
          <w:rFonts w:ascii="Times New Roman" w:hAnsi="Times New Roman" w:cs="Times New Roman"/>
          <w:sz w:val="28"/>
          <w:szCs w:val="28"/>
        </w:rPr>
        <w:t>/</w:t>
      </w:r>
      <w:r w:rsidRPr="00AF2896">
        <w:rPr>
          <w:rFonts w:ascii="Times New Roman" w:hAnsi="Times New Roman" w:cs="Times New Roman"/>
          <w:sz w:val="28"/>
          <w:szCs w:val="28"/>
        </w:rPr>
        <w:t xml:space="preserve">викладачами, </w:t>
      </w:r>
      <w:r w:rsidR="00474A75">
        <w:rPr>
          <w:rFonts w:ascii="Times New Roman" w:hAnsi="Times New Roman" w:cs="Times New Roman"/>
          <w:sz w:val="28"/>
          <w:szCs w:val="28"/>
        </w:rPr>
        <w:t>працівницями</w:t>
      </w:r>
      <w:r w:rsidR="00474A75" w:rsidRPr="00474A75">
        <w:rPr>
          <w:rFonts w:ascii="Times New Roman" w:hAnsi="Times New Roman" w:cs="Times New Roman"/>
          <w:sz w:val="28"/>
          <w:szCs w:val="28"/>
        </w:rPr>
        <w:t>/</w:t>
      </w:r>
      <w:r w:rsidRPr="00AF2896">
        <w:rPr>
          <w:rFonts w:ascii="Times New Roman" w:hAnsi="Times New Roman" w:cs="Times New Roman"/>
          <w:sz w:val="28"/>
          <w:szCs w:val="28"/>
        </w:rPr>
        <w:t xml:space="preserve">працівниками університету, </w:t>
      </w:r>
      <w:r w:rsidR="005B286C" w:rsidRPr="005B286C">
        <w:rPr>
          <w:rFonts w:ascii="Times New Roman" w:hAnsi="Times New Roman" w:cs="Times New Roman"/>
          <w:sz w:val="28"/>
          <w:szCs w:val="28"/>
        </w:rPr>
        <w:t>здобувачк</w:t>
      </w:r>
      <w:r w:rsidR="005B286C">
        <w:rPr>
          <w:rFonts w:ascii="Times New Roman" w:hAnsi="Times New Roman" w:cs="Times New Roman"/>
          <w:sz w:val="28"/>
          <w:szCs w:val="28"/>
        </w:rPr>
        <w:t>ами</w:t>
      </w:r>
      <w:r w:rsidR="005B286C" w:rsidRPr="005B286C">
        <w:rPr>
          <w:rFonts w:ascii="Times New Roman" w:hAnsi="Times New Roman" w:cs="Times New Roman"/>
          <w:sz w:val="28"/>
          <w:szCs w:val="28"/>
        </w:rPr>
        <w:t>/здобувач</w:t>
      </w:r>
      <w:r w:rsidR="005B286C">
        <w:rPr>
          <w:rFonts w:ascii="Times New Roman" w:hAnsi="Times New Roman" w:cs="Times New Roman"/>
          <w:sz w:val="28"/>
          <w:szCs w:val="28"/>
        </w:rPr>
        <w:t>ами</w:t>
      </w:r>
      <w:r w:rsidR="005B286C" w:rsidRPr="005B286C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5B286C" w:rsidRPr="00AF2896">
        <w:rPr>
          <w:rFonts w:ascii="Times New Roman" w:hAnsi="Times New Roman" w:cs="Times New Roman"/>
          <w:sz w:val="28"/>
          <w:szCs w:val="28"/>
        </w:rPr>
        <w:t xml:space="preserve">, </w:t>
      </w:r>
      <w:r w:rsidRPr="00AF2896">
        <w:rPr>
          <w:rFonts w:ascii="Times New Roman" w:hAnsi="Times New Roman" w:cs="Times New Roman"/>
          <w:sz w:val="28"/>
          <w:szCs w:val="28"/>
        </w:rPr>
        <w:t>а також громадськістю та зовнішніми експертами</w:t>
      </w:r>
      <w:r w:rsidR="00D83F29">
        <w:rPr>
          <w:rFonts w:ascii="Times New Roman" w:hAnsi="Times New Roman" w:cs="Times New Roman"/>
          <w:sz w:val="28"/>
          <w:szCs w:val="28"/>
        </w:rPr>
        <w:t xml:space="preserve"> (постійно)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2896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надання інформаційної та науково-методичної підтримки впровадженню гендерного підходу всім структурним підрозділам університету; активізація науково</w:t>
      </w:r>
      <w:r w:rsidR="000D3D0C">
        <w:rPr>
          <w:rFonts w:ascii="Times New Roman" w:hAnsi="Times New Roman" w:cs="Times New Roman"/>
          <w:sz w:val="28"/>
          <w:szCs w:val="28"/>
        </w:rPr>
        <w:t>-</w:t>
      </w:r>
      <w:r w:rsidRPr="00AF2896">
        <w:rPr>
          <w:rFonts w:ascii="Times New Roman" w:hAnsi="Times New Roman" w:cs="Times New Roman"/>
          <w:sz w:val="28"/>
          <w:szCs w:val="28"/>
        </w:rPr>
        <w:t>дослідницької роботи в площині теорії та практики гендерних досліджень</w:t>
      </w:r>
      <w:r w:rsidR="00D83F29">
        <w:rPr>
          <w:rFonts w:ascii="Times New Roman" w:hAnsi="Times New Roman" w:cs="Times New Roman"/>
          <w:sz w:val="28"/>
          <w:szCs w:val="28"/>
        </w:rPr>
        <w:t xml:space="preserve"> (постійно)</w:t>
      </w:r>
      <w:r w:rsidRPr="00AF2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50A" w:rsidRDefault="00AF2896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F2896">
        <w:rPr>
          <w:rFonts w:ascii="Times New Roman" w:hAnsi="Times New Roman" w:cs="Times New Roman"/>
          <w:sz w:val="28"/>
          <w:szCs w:val="28"/>
        </w:rPr>
        <w:t xml:space="preserve"> вдосконалення системи наукової комунікації та кооперації в галузі гендерних досліджень в університеті, організація регулярних тематичних міжнародних конференцій із найгостріших питань гендерної проблема</w:t>
      </w:r>
      <w:r>
        <w:rPr>
          <w:rFonts w:ascii="Times New Roman" w:hAnsi="Times New Roman" w:cs="Times New Roman"/>
          <w:sz w:val="28"/>
          <w:szCs w:val="28"/>
        </w:rPr>
        <w:t>тики в університетському житті</w:t>
      </w:r>
      <w:r w:rsidR="00D83F29">
        <w:rPr>
          <w:rFonts w:ascii="Times New Roman" w:hAnsi="Times New Roman" w:cs="Times New Roman"/>
          <w:sz w:val="28"/>
          <w:szCs w:val="28"/>
        </w:rPr>
        <w:t xml:space="preserve"> (протягом </w:t>
      </w:r>
      <w:r w:rsidR="00D83F29">
        <w:rPr>
          <w:rFonts w:ascii="Times New Roman" w:hAnsi="Times New Roman" w:cs="Times New Roman"/>
          <w:sz w:val="28"/>
          <w:szCs w:val="28"/>
        </w:rPr>
        <w:t>кожного навчального року</w:t>
      </w:r>
      <w:r w:rsidR="00D83F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3D1" w:rsidRDefault="0062450A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2450A">
        <w:rPr>
          <w:rFonts w:ascii="Times New Roman" w:hAnsi="Times New Roman" w:cs="Times New Roman"/>
          <w:sz w:val="28"/>
          <w:szCs w:val="28"/>
        </w:rPr>
        <w:t xml:space="preserve"> залучення університетських науковців та спеціалістів професійних спілок до співпраці із майбутнім органом; запровадження окремої експертно-дослідної програми гендерного аудиту соціального простору університетських гуртожитків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50A" w:rsidRDefault="0062450A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50A" w:rsidRPr="0062450A" w:rsidRDefault="0062450A" w:rsidP="00CB2A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62450A">
        <w:rPr>
          <w:rFonts w:ascii="Times New Roman" w:hAnsi="Times New Roman" w:cs="Times New Roman"/>
          <w:b/>
          <w:sz w:val="28"/>
          <w:szCs w:val="28"/>
        </w:rPr>
        <w:t>Цільові групи та сфери впровадження</w:t>
      </w:r>
    </w:p>
    <w:bookmarkEnd w:id="1"/>
    <w:p w:rsidR="0062450A" w:rsidRDefault="0062450A" w:rsidP="00C20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Цільовими групами впровадження Гендерної стратегії є вся університет</w:t>
      </w:r>
      <w:r w:rsidR="00725184">
        <w:rPr>
          <w:rFonts w:ascii="Times New Roman" w:hAnsi="Times New Roman" w:cs="Times New Roman"/>
          <w:sz w:val="28"/>
          <w:szCs w:val="28"/>
        </w:rPr>
        <w:t>ська спільнота,</w:t>
      </w:r>
      <w:r w:rsidR="00C201D6">
        <w:rPr>
          <w:rFonts w:ascii="Times New Roman" w:hAnsi="Times New Roman" w:cs="Times New Roman"/>
          <w:sz w:val="28"/>
          <w:szCs w:val="28"/>
        </w:rPr>
        <w:t xml:space="preserve"> всі учасниці</w:t>
      </w:r>
      <w:r w:rsidR="00C201D6" w:rsidRPr="00C201D6">
        <w:rPr>
          <w:rFonts w:ascii="Times New Roman" w:hAnsi="Times New Roman" w:cs="Times New Roman"/>
          <w:sz w:val="28"/>
          <w:szCs w:val="28"/>
        </w:rPr>
        <w:t>/</w:t>
      </w:r>
      <w:r w:rsidR="00C201D6">
        <w:rPr>
          <w:rFonts w:ascii="Times New Roman" w:hAnsi="Times New Roman" w:cs="Times New Roman"/>
          <w:sz w:val="28"/>
          <w:szCs w:val="28"/>
        </w:rPr>
        <w:t>учасники освітн</w:t>
      </w:r>
      <w:r w:rsidR="000D3D0C">
        <w:rPr>
          <w:rFonts w:ascii="Times New Roman" w:hAnsi="Times New Roman" w:cs="Times New Roman"/>
          <w:sz w:val="28"/>
          <w:szCs w:val="28"/>
        </w:rPr>
        <w:t>ь</w:t>
      </w:r>
      <w:r w:rsidR="00C201D6">
        <w:rPr>
          <w:rFonts w:ascii="Times New Roman" w:hAnsi="Times New Roman" w:cs="Times New Roman"/>
          <w:sz w:val="28"/>
          <w:szCs w:val="28"/>
        </w:rPr>
        <w:t>ого процесу</w:t>
      </w:r>
      <w:r w:rsidR="00C201D6" w:rsidRPr="00C201D6">
        <w:rPr>
          <w:rFonts w:ascii="Times New Roman" w:hAnsi="Times New Roman" w:cs="Times New Roman"/>
          <w:sz w:val="28"/>
          <w:szCs w:val="28"/>
        </w:rPr>
        <w:t>,</w:t>
      </w:r>
      <w:r w:rsidR="00725184">
        <w:rPr>
          <w:rFonts w:ascii="Times New Roman" w:hAnsi="Times New Roman" w:cs="Times New Roman"/>
          <w:sz w:val="28"/>
          <w:szCs w:val="28"/>
        </w:rPr>
        <w:t xml:space="preserve"> а саме: </w:t>
      </w:r>
      <w:r w:rsidR="005B286C" w:rsidRPr="005B286C">
        <w:rPr>
          <w:rFonts w:ascii="Times New Roman" w:hAnsi="Times New Roman" w:cs="Times New Roman"/>
          <w:sz w:val="28"/>
          <w:szCs w:val="28"/>
        </w:rPr>
        <w:t>здобувачк</w:t>
      </w:r>
      <w:r w:rsidR="005B286C">
        <w:rPr>
          <w:rFonts w:ascii="Times New Roman" w:hAnsi="Times New Roman" w:cs="Times New Roman"/>
          <w:sz w:val="28"/>
          <w:szCs w:val="28"/>
        </w:rPr>
        <w:t>и</w:t>
      </w:r>
      <w:r w:rsidR="005B286C" w:rsidRPr="005B286C">
        <w:rPr>
          <w:rFonts w:ascii="Times New Roman" w:hAnsi="Times New Roman" w:cs="Times New Roman"/>
          <w:sz w:val="28"/>
          <w:szCs w:val="28"/>
        </w:rPr>
        <w:t xml:space="preserve">/здобувачі вищої освіти </w:t>
      </w:r>
      <w:r w:rsidRPr="0062450A">
        <w:rPr>
          <w:rFonts w:ascii="Times New Roman" w:hAnsi="Times New Roman" w:cs="Times New Roman"/>
          <w:sz w:val="28"/>
          <w:szCs w:val="28"/>
        </w:rPr>
        <w:t xml:space="preserve">денного та заочного відділень усіх факультетів і спеціальностей; науково-педагогічні </w:t>
      </w:r>
      <w:r w:rsidR="00725184">
        <w:rPr>
          <w:rFonts w:ascii="Times New Roman" w:hAnsi="Times New Roman" w:cs="Times New Roman"/>
          <w:sz w:val="28"/>
          <w:szCs w:val="28"/>
        </w:rPr>
        <w:t>працівниці</w:t>
      </w:r>
      <w:r w:rsidR="00725184" w:rsidRPr="00725184">
        <w:rPr>
          <w:rFonts w:ascii="Times New Roman" w:hAnsi="Times New Roman" w:cs="Times New Roman"/>
          <w:sz w:val="28"/>
          <w:szCs w:val="28"/>
        </w:rPr>
        <w:t>/</w:t>
      </w:r>
      <w:r w:rsidRPr="0062450A">
        <w:rPr>
          <w:rFonts w:ascii="Times New Roman" w:hAnsi="Times New Roman" w:cs="Times New Roman"/>
          <w:sz w:val="28"/>
          <w:szCs w:val="28"/>
        </w:rPr>
        <w:t xml:space="preserve">працівники; науково допоміжний персонал; адміністрація, всі відділи та служби. </w:t>
      </w:r>
    </w:p>
    <w:p w:rsidR="0062450A" w:rsidRDefault="0062450A" w:rsidP="006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Сферами впровадження Гендерної стратегії є всі сфери університетської діяльності, а саме: наукова діяльність,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62450A">
        <w:rPr>
          <w:rFonts w:ascii="Times New Roman" w:hAnsi="Times New Roman" w:cs="Times New Roman"/>
          <w:sz w:val="28"/>
          <w:szCs w:val="28"/>
        </w:rPr>
        <w:t>-виховна діяльність, культурна діяльність, організаційна діяльність, фінансово-господарська діяльність, інформаційна діяльність</w:t>
      </w:r>
      <w:r w:rsidR="00725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9A0" w:rsidRDefault="00B709A0" w:rsidP="00725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09A0" w:rsidSect="009A4F1A">
      <w:type w:val="continuous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662"/>
    <w:multiLevelType w:val="hybridMultilevel"/>
    <w:tmpl w:val="F9C4957A"/>
    <w:lvl w:ilvl="0" w:tplc="5E624E8E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8392B"/>
    <w:multiLevelType w:val="hybridMultilevel"/>
    <w:tmpl w:val="B80E6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343"/>
    <w:multiLevelType w:val="hybridMultilevel"/>
    <w:tmpl w:val="373411A6"/>
    <w:lvl w:ilvl="0" w:tplc="5E624E8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396C6F"/>
    <w:multiLevelType w:val="multilevel"/>
    <w:tmpl w:val="61685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00D37AA"/>
    <w:multiLevelType w:val="hybridMultilevel"/>
    <w:tmpl w:val="74BCD16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B1B7838"/>
    <w:multiLevelType w:val="hybridMultilevel"/>
    <w:tmpl w:val="31C60818"/>
    <w:lvl w:ilvl="0" w:tplc="2DCAEF0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A1011A"/>
    <w:multiLevelType w:val="hybridMultilevel"/>
    <w:tmpl w:val="7152BA1C"/>
    <w:lvl w:ilvl="0" w:tplc="62B079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6452BE"/>
    <w:multiLevelType w:val="hybridMultilevel"/>
    <w:tmpl w:val="26E2EF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4445C2"/>
    <w:multiLevelType w:val="hybridMultilevel"/>
    <w:tmpl w:val="E9143C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2E3FB6"/>
    <w:multiLevelType w:val="hybridMultilevel"/>
    <w:tmpl w:val="735E805A"/>
    <w:lvl w:ilvl="0" w:tplc="CDB66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70D5"/>
    <w:multiLevelType w:val="hybridMultilevel"/>
    <w:tmpl w:val="F140EE96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7CF5113C"/>
    <w:multiLevelType w:val="hybridMultilevel"/>
    <w:tmpl w:val="CC9CF8C0"/>
    <w:lvl w:ilvl="0" w:tplc="C5D6510E"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EB"/>
    <w:rsid w:val="0007342D"/>
    <w:rsid w:val="000D3D0C"/>
    <w:rsid w:val="000D7053"/>
    <w:rsid w:val="001E19E6"/>
    <w:rsid w:val="00262B43"/>
    <w:rsid w:val="002B6401"/>
    <w:rsid w:val="00327C22"/>
    <w:rsid w:val="003B2CF9"/>
    <w:rsid w:val="003D5205"/>
    <w:rsid w:val="003D7504"/>
    <w:rsid w:val="004211C6"/>
    <w:rsid w:val="00451C64"/>
    <w:rsid w:val="00453A6F"/>
    <w:rsid w:val="00474A75"/>
    <w:rsid w:val="00495DEB"/>
    <w:rsid w:val="00556612"/>
    <w:rsid w:val="00561F4E"/>
    <w:rsid w:val="005B286C"/>
    <w:rsid w:val="005E1F61"/>
    <w:rsid w:val="005F68AC"/>
    <w:rsid w:val="0062450A"/>
    <w:rsid w:val="006908EB"/>
    <w:rsid w:val="006E6D86"/>
    <w:rsid w:val="00710653"/>
    <w:rsid w:val="00710709"/>
    <w:rsid w:val="00712EDA"/>
    <w:rsid w:val="00725184"/>
    <w:rsid w:val="007819D2"/>
    <w:rsid w:val="007C2252"/>
    <w:rsid w:val="00836F1B"/>
    <w:rsid w:val="0085127E"/>
    <w:rsid w:val="00893B5C"/>
    <w:rsid w:val="0091398F"/>
    <w:rsid w:val="00940120"/>
    <w:rsid w:val="0097111F"/>
    <w:rsid w:val="009A4F1A"/>
    <w:rsid w:val="009C2C2B"/>
    <w:rsid w:val="00A421DF"/>
    <w:rsid w:val="00A61433"/>
    <w:rsid w:val="00AF2896"/>
    <w:rsid w:val="00B16709"/>
    <w:rsid w:val="00B709A0"/>
    <w:rsid w:val="00B72EE8"/>
    <w:rsid w:val="00C201D6"/>
    <w:rsid w:val="00C52B9B"/>
    <w:rsid w:val="00C673D1"/>
    <w:rsid w:val="00CB2A9C"/>
    <w:rsid w:val="00D17B40"/>
    <w:rsid w:val="00D20D27"/>
    <w:rsid w:val="00D73AAD"/>
    <w:rsid w:val="00D83F29"/>
    <w:rsid w:val="00DE1D15"/>
    <w:rsid w:val="00E05DAB"/>
    <w:rsid w:val="00E423FC"/>
    <w:rsid w:val="00EE11E6"/>
    <w:rsid w:val="00EE79F3"/>
    <w:rsid w:val="00F3575A"/>
    <w:rsid w:val="00F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6C9"/>
  <w15:chartTrackingRefBased/>
  <w15:docId w15:val="{B5EA8BB1-78D2-4C8D-84D7-1F29F01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9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2DC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1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e.un.org/sites/default/files/2021-11/UN%20Policy%20Paper%20on%20GBV_FINAL%20UK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165261___165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2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m.coe.int/cop-declaration-10th-anniversary-eng-uk1-%20/1680a26e6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9151</Words>
  <Characters>5217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24</cp:revision>
  <dcterms:created xsi:type="dcterms:W3CDTF">2024-04-25T08:33:00Z</dcterms:created>
  <dcterms:modified xsi:type="dcterms:W3CDTF">2024-05-10T10:48:00Z</dcterms:modified>
</cp:coreProperties>
</file>